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2026年运维分公司柴油发电机设备维护服务</w:t>
      </w:r>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4E90266F">
      <w:pPr>
        <w:pStyle w:val="28"/>
        <w:jc w:val="center"/>
        <w:rPr>
          <w:rFonts w:ascii="宋体" w:hAnsi="宋体" w:cs="宋体"/>
          <w:color w:val="auto"/>
          <w:szCs w:val="21"/>
          <w:highlight w:val="none"/>
        </w:rPr>
      </w:pPr>
      <w:r>
        <w:rPr>
          <w:color w:val="auto"/>
          <w:highlight w:val="none"/>
        </w:rPr>
        <w:br w:type="page"/>
      </w:r>
      <w:bookmarkStart w:id="0" w:name="_Toc296602400"/>
      <w:bookmarkStart w:id="1" w:name="_Toc247085669"/>
      <w:bookmarkStart w:id="2" w:name="_Toc507319889"/>
      <w:r>
        <w:rPr>
          <w:rFonts w:hint="eastAsia" w:ascii="宋体" w:hAnsi="宋体" w:cs="宋体"/>
          <w:b w:val="0"/>
          <w:color w:val="auto"/>
          <w:sz w:val="32"/>
          <w:highlight w:val="none"/>
        </w:rPr>
        <w:t>目   录</w:t>
      </w:r>
      <w:bookmarkEnd w:id="0"/>
      <w:bookmarkEnd w:id="1"/>
      <w:bookmarkEnd w:id="2"/>
    </w:p>
    <w:p w14:paraId="0EE25D97">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13DCE639">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78CB6AF8">
      <w:pPr>
        <w:spacing w:line="440" w:lineRule="exact"/>
        <w:jc w:val="center"/>
        <w:rPr>
          <w:rFonts w:ascii="宋体" w:hAnsi="宋体" w:cs="宋体"/>
          <w:b/>
          <w:color w:val="auto"/>
          <w:sz w:val="28"/>
          <w:szCs w:val="28"/>
          <w:highlight w:val="none"/>
        </w:rPr>
      </w:pPr>
    </w:p>
    <w:p w14:paraId="5A0B7DB3">
      <w:pPr>
        <w:pStyle w:val="4"/>
        <w:spacing w:before="0" w:after="0" w:line="360" w:lineRule="auto"/>
        <w:rPr>
          <w:rFonts w:ascii="宋体" w:hAnsi="宋体" w:eastAsia="宋体" w:cs="宋体"/>
          <w:color w:val="auto"/>
          <w:highlight w:val="none"/>
        </w:rPr>
      </w:pPr>
      <w:bookmarkStart w:id="5" w:name="_Toc11329213"/>
      <w:bookmarkStart w:id="6" w:name="_Toc13849"/>
      <w:bookmarkStart w:id="7" w:name="_Toc507319891"/>
      <w:bookmarkStart w:id="8" w:name="_Toc10076"/>
      <w:bookmarkStart w:id="9" w:name="_Toc6549"/>
      <w:bookmarkStart w:id="10" w:name="_Toc247085672"/>
      <w:bookmarkStart w:id="11" w:name="_Toc152042288"/>
      <w:bookmarkStart w:id="12" w:name="_Toc24874"/>
      <w:bookmarkStart w:id="13" w:name="_Toc246996901"/>
      <w:bookmarkStart w:id="14" w:name="_Toc152045512"/>
      <w:bookmarkStart w:id="15" w:name="_Toc144974480"/>
      <w:bookmarkStart w:id="16" w:name="_Toc179632528"/>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2026年运维分公司柴油发电机设备维护服务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4"/>
        <w:spacing w:before="120" w:after="0" w:line="360" w:lineRule="auto"/>
        <w:rPr>
          <w:rFonts w:ascii="宋体" w:hAnsi="宋体" w:eastAsia="宋体" w:cs="宋体"/>
          <w:color w:val="auto"/>
          <w:highlight w:val="none"/>
        </w:rPr>
      </w:pPr>
      <w:bookmarkStart w:id="17" w:name="_Toc7760"/>
      <w:bookmarkStart w:id="18" w:name="_Toc179632529"/>
      <w:bookmarkStart w:id="19" w:name="_Toc18109"/>
      <w:bookmarkStart w:id="20" w:name="_Toc247085673"/>
      <w:bookmarkStart w:id="21" w:name="_Toc152042289"/>
      <w:bookmarkStart w:id="22" w:name="_Toc21343"/>
      <w:bookmarkStart w:id="23" w:name="_Toc507319892"/>
      <w:bookmarkStart w:id="24" w:name="_Toc246996159"/>
      <w:bookmarkStart w:id="25" w:name="_Toc152045513"/>
      <w:bookmarkStart w:id="26" w:name="_Toc144974481"/>
      <w:bookmarkStart w:id="27" w:name="_Toc11329214"/>
      <w:bookmarkStart w:id="28" w:name="_Toc10952"/>
      <w:bookmarkStart w:id="29" w:name="_Toc246996902"/>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1E58F8E">
      <w:pPr>
        <w:spacing w:line="420" w:lineRule="exact"/>
        <w:ind w:firstLine="420" w:firstLineChars="200"/>
        <w:rPr>
          <w:rFonts w:hint="default" w:ascii="宋体" w:hAnsi="宋体" w:cs="宋体"/>
          <w:color w:val="auto"/>
          <w:highlight w:val="none"/>
          <w:lang w:val="en-US" w:eastAsia="zh-CN"/>
        </w:rPr>
      </w:pPr>
      <w:bookmarkStart w:id="30" w:name="_Toc265234827"/>
      <w:bookmarkStart w:id="31"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2" w:name="交货地点"/>
      <w:r>
        <w:rPr>
          <w:rFonts w:hint="eastAsia" w:ascii="宋体" w:hAnsi="宋体" w:cs="宋体"/>
          <w:color w:val="auto"/>
          <w:szCs w:val="21"/>
          <w:highlight w:val="none"/>
          <w:u w:val="single"/>
          <w:lang w:val="en-US" w:eastAsia="zh-CN"/>
        </w:rPr>
        <w:t>重庆市境内相关高速路段。</w:t>
      </w:r>
      <w:bookmarkEnd w:id="32"/>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3" w:name="项目概况"/>
      <w:bookmarkEnd w:id="33"/>
      <w:r>
        <w:rPr>
          <w:rFonts w:hint="eastAsia" w:ascii="宋体" w:hAnsi="宋体" w:cs="宋体"/>
          <w:color w:val="auto"/>
          <w:highlight w:val="none"/>
          <w:lang w:val="en-US" w:eastAsia="zh-CN"/>
        </w:rPr>
        <w:t>运维分公司南方数智运维中心、渝东数智运维中心、东北数智运维中心、东南数智运维中心、中西部数智运维中心五中心柴油发电机维护工作。</w:t>
      </w:r>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cs="宋体"/>
          <w:color w:val="auto"/>
          <w:szCs w:val="21"/>
          <w:highlight w:val="none"/>
          <w:u w:val="single"/>
          <w:lang w:val="en-US" w:eastAsia="zh-CN"/>
        </w:rPr>
        <w:t>298.43</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本次维护包含南方数智运维中心、渝东数智运维中心、东北数智运维中心、东南数智运维中心、中西部数智运维中心五中心所辖范围内2026年为期1年的柴油发电机设备维护，对柴油发电机设备进行巡检、保养、维护、维修工作。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4" w:name="工期、货期要求"/>
      <w:r>
        <w:rPr>
          <w:rFonts w:hint="eastAsia" w:ascii="宋体" w:hAnsi="宋体" w:eastAsia="宋体" w:cs="宋体"/>
          <w:color w:val="auto"/>
          <w:szCs w:val="21"/>
          <w:highlight w:val="none"/>
          <w:u w:val="single"/>
        </w:rPr>
        <w:t>服务期限一年，</w:t>
      </w:r>
      <w:r>
        <w:rPr>
          <w:rFonts w:hint="eastAsia" w:ascii="宋体" w:hAnsi="宋体" w:cs="宋体"/>
          <w:color w:val="auto"/>
          <w:szCs w:val="21"/>
          <w:highlight w:val="none"/>
          <w:u w:val="single"/>
          <w:lang w:val="en-US" w:eastAsia="zh-CN"/>
        </w:rPr>
        <w:t>具体以甲方要求为准</w:t>
      </w:r>
      <w:r>
        <w:rPr>
          <w:rFonts w:hint="eastAsia" w:ascii="宋体" w:hAnsi="宋体" w:eastAsia="宋体" w:cs="宋体"/>
          <w:color w:val="auto"/>
          <w:szCs w:val="21"/>
          <w:highlight w:val="none"/>
          <w:u w:val="single"/>
        </w:rPr>
        <w:t>。</w:t>
      </w:r>
      <w:bookmarkEnd w:id="34"/>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5" w:name="_Toc507319893"/>
      <w:bookmarkStart w:id="36" w:name="_Toc11329215"/>
      <w:bookmarkStart w:id="37" w:name="_Toc152045514"/>
      <w:bookmarkStart w:id="38" w:name="_Toc152042290"/>
      <w:bookmarkStart w:id="39" w:name="_Toc7065"/>
      <w:bookmarkStart w:id="40" w:name="_Toc247085674"/>
      <w:bookmarkStart w:id="41" w:name="_Toc179632530"/>
      <w:bookmarkStart w:id="42" w:name="_Toc246996160"/>
      <w:bookmarkStart w:id="43" w:name="_Toc30356"/>
      <w:bookmarkStart w:id="44" w:name="_Toc144974482"/>
      <w:bookmarkStart w:id="45" w:name="_Toc246996903"/>
      <w:bookmarkStart w:id="46" w:name="_Toc10171"/>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bookmarkStart w:id="47" w:name="标段划分"/>
      <w:r>
        <w:rPr>
          <w:rFonts w:hint="eastAsia" w:ascii="宋体" w:hAnsi="宋体" w:cs="宋体"/>
          <w:b w:val="0"/>
          <w:bCs w:val="0"/>
          <w:color w:val="auto"/>
          <w:kern w:val="2"/>
          <w:sz w:val="21"/>
          <w:szCs w:val="24"/>
          <w:highlight w:val="none"/>
          <w:u w:val="single"/>
          <w:lang w:val="en-US" w:eastAsia="zh-CN" w:bidi="ar-SA"/>
        </w:rPr>
        <w:t>1</w:t>
      </w:r>
      <w:bookmarkEnd w:id="47"/>
      <w:r>
        <w:rPr>
          <w:rFonts w:hint="eastAsia" w:ascii="宋体" w:hAnsi="宋体" w:cs="宋体"/>
          <w:b w:val="0"/>
          <w:bCs w:val="0"/>
          <w:color w:val="auto"/>
          <w:kern w:val="2"/>
          <w:sz w:val="21"/>
          <w:szCs w:val="24"/>
          <w:highlight w:val="none"/>
          <w:lang w:val="en-US" w:eastAsia="zh-CN" w:bidi="ar-SA"/>
        </w:rPr>
        <w:t>个标段。</w:t>
      </w:r>
    </w:p>
    <w:p w14:paraId="2988C130">
      <w:pPr>
        <w:pStyle w:val="4"/>
        <w:spacing w:before="120" w:after="0" w:line="360" w:lineRule="auto"/>
        <w:rPr>
          <w:rFonts w:ascii="宋体" w:hAnsi="宋体" w:eastAsia="宋体" w:cs="宋体"/>
          <w:color w:val="auto"/>
          <w:highlight w:val="none"/>
        </w:rPr>
      </w:pPr>
      <w:bookmarkStart w:id="48" w:name="_Toc13092"/>
      <w:r>
        <w:rPr>
          <w:rFonts w:hint="eastAsia" w:ascii="宋体" w:hAnsi="宋体" w:eastAsia="宋体" w:cs="宋体"/>
          <w:color w:val="auto"/>
          <w:highlight w:val="none"/>
        </w:rPr>
        <w:t>3. 报价人资格要求</w:t>
      </w:r>
      <w:bookmarkEnd w:id="35"/>
      <w:bookmarkEnd w:id="36"/>
      <w:bookmarkEnd w:id="37"/>
      <w:bookmarkEnd w:id="38"/>
      <w:bookmarkEnd w:id="39"/>
      <w:bookmarkEnd w:id="40"/>
      <w:bookmarkEnd w:id="41"/>
      <w:bookmarkEnd w:id="42"/>
      <w:bookmarkEnd w:id="43"/>
      <w:bookmarkEnd w:id="44"/>
      <w:bookmarkEnd w:id="45"/>
      <w:bookmarkEnd w:id="46"/>
      <w:bookmarkEnd w:id="48"/>
    </w:p>
    <w:p w14:paraId="5D64D74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49" w:name="_Toc152045515"/>
      <w:bookmarkStart w:id="50" w:name="_Toc246996161"/>
      <w:bookmarkStart w:id="51" w:name="_Toc246996904"/>
      <w:bookmarkStart w:id="52" w:name="_Toc179632531"/>
      <w:bookmarkStart w:id="53" w:name="_Toc144974483"/>
      <w:bookmarkStart w:id="54" w:name="_Toc152042291"/>
      <w:bookmarkStart w:id="55" w:name="_Toc247085675"/>
      <w:r>
        <w:rPr>
          <w:rFonts w:hint="eastAsia" w:ascii="宋体" w:hAnsi="宋体" w:cs="宋体"/>
          <w:color w:val="auto"/>
          <w:sz w:val="21"/>
          <w:szCs w:val="21"/>
          <w:highlight w:val="none"/>
          <w:lang w:val="en-US" w:eastAsia="zh-CN"/>
        </w:rPr>
        <w:t>3.1 资质要求：</w:t>
      </w:r>
      <w:bookmarkStart w:id="56" w:name="资质要求"/>
    </w:p>
    <w:p w14:paraId="70A6366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（1）报价人具有独立法人资格及有效的营业执照或事业单位法人证书。 </w:t>
      </w:r>
    </w:p>
    <w:bookmarkEnd w:id="56"/>
    <w:p w14:paraId="363FBFAA">
      <w:pPr>
        <w:pStyle w:val="13"/>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57" w:name="业绩要求"/>
      <w:r>
        <w:rPr>
          <w:rFonts w:hint="eastAsia" w:ascii="宋体" w:hAnsi="宋体" w:cs="宋体"/>
          <w:color w:val="auto"/>
          <w:sz w:val="21"/>
          <w:szCs w:val="21"/>
          <w:highlight w:val="none"/>
          <w:lang w:val="en-US" w:eastAsia="zh-CN"/>
        </w:rPr>
        <w:t>报价人在2022年1月1日至竞争性比选文件发出之日（以合同签订时间为准）至少具有一项合同金额150万元及以上的类似发电机供货或维护业绩</w:t>
      </w:r>
      <w:r>
        <w:rPr>
          <w:rFonts w:hint="eastAsia" w:ascii="宋体" w:hAnsi="宋体" w:eastAsia="宋体" w:cs="宋体"/>
          <w:color w:val="auto"/>
          <w:sz w:val="21"/>
          <w:szCs w:val="21"/>
          <w:highlight w:val="none"/>
          <w:lang w:val="en-US" w:eastAsia="zh-CN"/>
        </w:rPr>
        <w:t>。</w:t>
      </w:r>
      <w:bookmarkEnd w:id="57"/>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4"/>
        <w:spacing w:before="120" w:after="0" w:line="400" w:lineRule="exact"/>
        <w:rPr>
          <w:rFonts w:hint="eastAsia" w:ascii="宋体" w:hAnsi="宋体" w:eastAsia="宋体" w:cs="宋体"/>
          <w:color w:val="auto"/>
          <w:highlight w:val="none"/>
        </w:rPr>
      </w:pPr>
      <w:bookmarkStart w:id="58" w:name="_Toc13035"/>
      <w:bookmarkStart w:id="59" w:name="_Toc11329216"/>
      <w:bookmarkStart w:id="60" w:name="_Toc507319894"/>
      <w:bookmarkStart w:id="61" w:name="_Toc25619"/>
      <w:bookmarkStart w:id="62" w:name="_Toc12460"/>
      <w:bookmarkStart w:id="63" w:name="_Toc14361"/>
      <w:r>
        <w:rPr>
          <w:rFonts w:hint="eastAsia" w:ascii="宋体" w:hAnsi="宋体" w:eastAsia="宋体" w:cs="宋体"/>
          <w:color w:val="auto"/>
          <w:highlight w:val="none"/>
        </w:rPr>
        <w:t>4. 评标办法</w:t>
      </w:r>
      <w:bookmarkEnd w:id="58"/>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4"/>
        <w:spacing w:before="120" w:after="0" w:line="400" w:lineRule="exact"/>
        <w:rPr>
          <w:rFonts w:ascii="宋体" w:hAnsi="宋体" w:eastAsia="宋体" w:cs="宋体"/>
          <w:color w:val="auto"/>
          <w:highlight w:val="none"/>
        </w:rPr>
      </w:pPr>
      <w:bookmarkStart w:id="64"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9"/>
      <w:bookmarkEnd w:id="50"/>
      <w:bookmarkEnd w:id="51"/>
      <w:bookmarkEnd w:id="52"/>
      <w:bookmarkEnd w:id="53"/>
      <w:bookmarkEnd w:id="54"/>
      <w:bookmarkEnd w:id="55"/>
      <w:bookmarkEnd w:id="59"/>
      <w:bookmarkEnd w:id="60"/>
      <w:bookmarkEnd w:id="61"/>
      <w:bookmarkEnd w:id="62"/>
      <w:bookmarkEnd w:id="63"/>
      <w:bookmarkEnd w:id="64"/>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5" w:name="_Toc507319895"/>
      <w:bookmarkStart w:id="66" w:name="_Toc152045516"/>
      <w:bookmarkStart w:id="67" w:name="_Toc11329217"/>
      <w:bookmarkStart w:id="68" w:name="_Toc246996162"/>
      <w:bookmarkStart w:id="69" w:name="_Toc179632532"/>
      <w:bookmarkStart w:id="70" w:name="_Toc152042292"/>
      <w:bookmarkStart w:id="71" w:name="_Toc246996905"/>
      <w:bookmarkStart w:id="72" w:name="_Toc247085676"/>
      <w:bookmarkStart w:id="73" w:name="_Toc144974484"/>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4"/>
        <w:spacing w:before="120" w:after="0" w:line="400" w:lineRule="exact"/>
        <w:rPr>
          <w:rFonts w:ascii="宋体" w:hAnsi="宋体" w:eastAsia="宋体" w:cs="宋体"/>
          <w:color w:val="auto"/>
          <w:highlight w:val="none"/>
        </w:rPr>
      </w:pPr>
      <w:bookmarkStart w:id="74" w:name="_Toc31493"/>
      <w:bookmarkStart w:id="75" w:name="_Toc14325"/>
      <w:bookmarkStart w:id="76" w:name="_Toc16686"/>
      <w:bookmarkStart w:id="77"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5"/>
      <w:bookmarkEnd w:id="66"/>
      <w:bookmarkEnd w:id="67"/>
      <w:bookmarkEnd w:id="68"/>
      <w:bookmarkEnd w:id="69"/>
      <w:bookmarkEnd w:id="70"/>
      <w:bookmarkEnd w:id="71"/>
      <w:bookmarkEnd w:id="72"/>
      <w:bookmarkEnd w:id="73"/>
      <w:r>
        <w:rPr>
          <w:rFonts w:hint="eastAsia" w:ascii="宋体" w:hAnsi="宋体" w:eastAsia="宋体" w:cs="宋体"/>
          <w:color w:val="auto"/>
          <w:highlight w:val="none"/>
        </w:rPr>
        <w:t>及相关事宜</w:t>
      </w:r>
      <w:bookmarkEnd w:id="74"/>
      <w:bookmarkEnd w:id="75"/>
      <w:bookmarkEnd w:id="76"/>
      <w:bookmarkEnd w:id="77"/>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3</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8"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8"/>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4"/>
        <w:spacing w:before="120" w:after="0" w:line="400" w:lineRule="exact"/>
        <w:rPr>
          <w:rFonts w:ascii="宋体" w:hAnsi="宋体" w:eastAsia="宋体" w:cs="宋体"/>
          <w:color w:val="auto"/>
          <w:highlight w:val="none"/>
        </w:rPr>
      </w:pPr>
      <w:bookmarkStart w:id="79" w:name="_Toc247085678"/>
      <w:bookmarkStart w:id="80" w:name="_Toc4010"/>
      <w:bookmarkStart w:id="81" w:name="_Toc393"/>
      <w:bookmarkStart w:id="82" w:name="_Toc152045517"/>
      <w:bookmarkStart w:id="83" w:name="_Toc144974485"/>
      <w:bookmarkStart w:id="84" w:name="_Toc18402"/>
      <w:bookmarkStart w:id="85" w:name="_Toc507319897"/>
      <w:bookmarkStart w:id="86" w:name="_Toc11329219"/>
      <w:bookmarkStart w:id="87" w:name="_Toc246996164"/>
      <w:bookmarkStart w:id="88" w:name="_Toc179632534"/>
      <w:bookmarkStart w:id="89" w:name="_Toc152042293"/>
      <w:bookmarkStart w:id="90" w:name="_Toc246996907"/>
      <w:bookmarkStart w:id="91" w:name="_Toc2161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9"/>
      <w:bookmarkEnd w:id="80"/>
      <w:bookmarkEnd w:id="81"/>
      <w:bookmarkEnd w:id="82"/>
      <w:bookmarkEnd w:id="83"/>
      <w:bookmarkEnd w:id="84"/>
      <w:bookmarkEnd w:id="85"/>
      <w:bookmarkEnd w:id="86"/>
      <w:bookmarkEnd w:id="87"/>
      <w:bookmarkEnd w:id="88"/>
      <w:bookmarkEnd w:id="89"/>
      <w:bookmarkEnd w:id="90"/>
      <w:bookmarkEnd w:id="91"/>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18523811039 </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18523970401 </w:t>
            </w:r>
          </w:p>
        </w:tc>
      </w:tr>
    </w:tbl>
    <w:p w14:paraId="3ABA1DE3">
      <w:pPr>
        <w:rPr>
          <w:color w:val="auto"/>
          <w:highlight w:val="none"/>
        </w:rPr>
      </w:pPr>
    </w:p>
    <w:p w14:paraId="5A7D0BC8">
      <w:pPr>
        <w:pStyle w:val="28"/>
        <w:rPr>
          <w:color w:val="auto"/>
          <w:highlight w:val="none"/>
        </w:rPr>
      </w:pPr>
    </w:p>
    <w:p w14:paraId="54A9631B">
      <w:pPr>
        <w:rPr>
          <w:color w:val="auto"/>
          <w:highlight w:val="none"/>
        </w:rPr>
      </w:pPr>
    </w:p>
    <w:p w14:paraId="1FB154CE">
      <w:pPr>
        <w:pStyle w:val="28"/>
        <w:rPr>
          <w:color w:val="auto"/>
          <w:highlight w:val="none"/>
        </w:rPr>
      </w:pPr>
    </w:p>
    <w:p w14:paraId="1F8B1607">
      <w:pPr>
        <w:pStyle w:val="28"/>
        <w:rPr>
          <w:color w:val="auto"/>
          <w:highlight w:val="none"/>
        </w:rPr>
      </w:pPr>
    </w:p>
    <w:p w14:paraId="03262C24">
      <w:pPr>
        <w:pStyle w:val="3"/>
        <w:spacing w:before="0" w:after="0" w:line="360" w:lineRule="auto"/>
        <w:jc w:val="center"/>
        <w:rPr>
          <w:rFonts w:ascii="宋体" w:hAnsi="宋体" w:cs="宋体"/>
          <w:color w:val="auto"/>
          <w:highlight w:val="none"/>
        </w:rPr>
      </w:pPr>
      <w:bookmarkStart w:id="92" w:name="_Toc152045527"/>
      <w:bookmarkStart w:id="93" w:name="_Toc507319898"/>
      <w:bookmarkStart w:id="94" w:name="_Toc144974495"/>
      <w:bookmarkStart w:id="95" w:name="_Toc179632544"/>
      <w:bookmarkStart w:id="96" w:name="_Toc2000405"/>
      <w:bookmarkStart w:id="97" w:name="_Toc247085687"/>
      <w:bookmarkStart w:id="98" w:name="_Toc246996916"/>
      <w:bookmarkStart w:id="99" w:name="_Toc152042303"/>
      <w:bookmarkStart w:id="100" w:name="_Toc246996173"/>
      <w:r>
        <w:rPr>
          <w:rFonts w:hint="eastAsia" w:ascii="宋体" w:hAnsi="宋体" w:cs="宋体"/>
          <w:color w:val="auto"/>
          <w:highlight w:val="none"/>
        </w:rPr>
        <w:br w:type="page"/>
      </w:r>
      <w:bookmarkStart w:id="101" w:name="_Toc12865"/>
      <w:r>
        <w:rPr>
          <w:rFonts w:hint="eastAsia" w:ascii="宋体" w:hAnsi="宋体" w:cs="宋体"/>
          <w:color w:val="auto"/>
          <w:highlight w:val="none"/>
        </w:rPr>
        <w:t>第二章 报价人须知</w:t>
      </w:r>
      <w:bookmarkEnd w:id="92"/>
      <w:bookmarkEnd w:id="93"/>
      <w:bookmarkEnd w:id="94"/>
      <w:bookmarkEnd w:id="95"/>
      <w:bookmarkEnd w:id="96"/>
      <w:bookmarkEnd w:id="97"/>
      <w:bookmarkEnd w:id="98"/>
      <w:bookmarkEnd w:id="99"/>
      <w:bookmarkEnd w:id="100"/>
      <w:bookmarkEnd w:id="101"/>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2"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45EA6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p>
          <w:p w14:paraId="75EF563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18523970401 </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i w:val="0"/>
                <w:iCs w:val="0"/>
                <w:color w:val="auto"/>
                <w:szCs w:val="21"/>
                <w:highlight w:val="none"/>
                <w:u w:val="single"/>
                <w:lang w:val="en-US" w:eastAsia="zh-CN"/>
              </w:rPr>
              <w:t>2026年运维分公司柴油发电机设备维护服务</w:t>
            </w:r>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报价人须知</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综合单价包干</w:t>
            </w:r>
            <w:r>
              <w:rPr>
                <w:rFonts w:hint="eastAsia" w:ascii="宋体" w:hAnsi="宋体" w:cs="宋体"/>
                <w:color w:val="auto"/>
                <w:szCs w:val="21"/>
                <w:highlight w:val="none"/>
                <w:u w:val="single"/>
              </w:rPr>
              <w:t>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7A96D44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6</w:t>
            </w:r>
            <w:r>
              <w:rPr>
                <w:rFonts w:hint="eastAsia" w:ascii="宋体" w:hAnsi="宋体" w:cs="宋体"/>
                <w:b w:val="0"/>
                <w:bCs w:val="0"/>
                <w:color w:val="auto"/>
                <w:highlight w:val="none"/>
              </w:rPr>
              <w:t>.异常低价警戒线要求</w:t>
            </w:r>
          </w:p>
          <w:p w14:paraId="10BA4C4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否</w:t>
            </w:r>
          </w:p>
          <w:p w14:paraId="2374E4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5A459AA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1514F41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528956F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2EA875A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409CE26">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2984211.26 </w:t>
            </w:r>
            <w:r>
              <w:rPr>
                <w:rFonts w:hint="eastAsia" w:ascii="宋体" w:hAnsi="宋体"/>
                <w:b/>
                <w:bCs/>
                <w:color w:val="auto"/>
                <w:szCs w:val="21"/>
                <w:highlight w:val="none"/>
              </w:rPr>
              <w:t>元</w:t>
            </w:r>
            <w:r>
              <w:rPr>
                <w:rFonts w:hint="eastAsia" w:ascii="宋体" w:hAnsi="宋体"/>
                <w:b/>
                <w:bCs/>
                <w:color w:val="auto"/>
                <w:szCs w:val="21"/>
                <w:highlight w:val="none"/>
                <w:lang w:eastAsia="zh-CN"/>
              </w:rPr>
              <w:t>，</w:t>
            </w:r>
            <w:r>
              <w:rPr>
                <w:rFonts w:hint="eastAsia" w:ascii="宋体" w:hAnsi="宋体"/>
                <w:b/>
                <w:bCs/>
                <w:color w:val="auto"/>
                <w:szCs w:val="21"/>
                <w:highlight w:val="none"/>
              </w:rPr>
              <w:t>其中已含维护所需的备品备件</w:t>
            </w:r>
            <w:r>
              <w:rPr>
                <w:rFonts w:hint="eastAsia" w:ascii="宋体" w:hAnsi="宋体"/>
                <w:b/>
                <w:bCs/>
                <w:color w:val="auto"/>
                <w:szCs w:val="21"/>
                <w:highlight w:val="none"/>
                <w:lang w:eastAsia="zh-CN"/>
              </w:rPr>
              <w:t>、配件及耗材</w:t>
            </w:r>
            <w:r>
              <w:rPr>
                <w:rFonts w:hint="eastAsia" w:ascii="宋体" w:hAnsi="宋体"/>
                <w:b/>
                <w:bCs/>
                <w:color w:val="auto"/>
                <w:szCs w:val="21"/>
                <w:highlight w:val="none"/>
              </w:rPr>
              <w:t>费用</w:t>
            </w:r>
            <w:r>
              <w:rPr>
                <w:rFonts w:hint="eastAsia" w:ascii="宋体" w:hAnsi="宋体"/>
                <w:b/>
                <w:bCs/>
                <w:color w:val="auto"/>
                <w:szCs w:val="21"/>
                <w:highlight w:val="none"/>
                <w:lang w:val="en-US" w:eastAsia="zh-CN"/>
              </w:rPr>
              <w:t>65</w:t>
            </w:r>
            <w:r>
              <w:rPr>
                <w:rFonts w:hint="eastAsia" w:ascii="宋体" w:hAnsi="宋体"/>
                <w:b/>
                <w:bCs/>
                <w:color w:val="auto"/>
                <w:szCs w:val="21"/>
                <w:highlight w:val="none"/>
              </w:rPr>
              <w:t>0000.00元。单价限价详见“竞争性比选文件附件”。</w:t>
            </w:r>
          </w:p>
          <w:p w14:paraId="2C0D2F1B">
            <w:pPr>
              <w:keepNext w:val="0"/>
              <w:keepLines w:val="0"/>
              <w:pageBreakBefore w:val="0"/>
              <w:widowControl w:val="0"/>
              <w:kinsoku/>
              <w:wordWrap/>
              <w:overflowPunct/>
              <w:bidi w:val="0"/>
              <w:spacing w:line="400" w:lineRule="exact"/>
              <w:ind w:firstLine="420" w:firstLineChars="200"/>
              <w:textAlignment w:val="auto"/>
              <w:rPr>
                <w:highlight w:val="none"/>
              </w:rPr>
            </w:pPr>
            <w:r>
              <w:rPr>
                <w:rFonts w:hint="eastAsia" w:ascii="宋体" w:hAnsi="宋体" w:cs="宋体"/>
                <w:b w:val="0"/>
                <w:bCs/>
                <w:color w:val="auto"/>
                <w:kern w:val="0"/>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3" w:name="支付方式"/>
            <w:r>
              <w:rPr>
                <w:rFonts w:hint="eastAsia" w:ascii="宋体" w:hAnsi="宋体" w:cs="宋体"/>
                <w:b w:val="0"/>
                <w:bCs w:val="0"/>
                <w:color w:val="auto"/>
                <w:sz w:val="21"/>
                <w:szCs w:val="21"/>
                <w:highlight w:val="none"/>
                <w:lang w:val="en-US" w:eastAsia="zh-CN"/>
              </w:rPr>
              <w:t>按照合同清单工程量及工作任务包干、未实施部分按清单单价扣减的计量支付原则，采取按季度支付的方式，乙方向甲方提交相应的维护资料和支付资料，经甲方验收合格后将维护费用支付给乙方。</w:t>
            </w:r>
            <w:bookmarkEnd w:id="103"/>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4" w:name="是否提供投标保证金"/>
            <w:r>
              <w:rPr>
                <w:rFonts w:hint="eastAsia" w:hAnsi="宋体" w:cs="宋体"/>
                <w:b w:val="0"/>
                <w:bCs w:val="0"/>
                <w:color w:val="auto"/>
                <w:kern w:val="0"/>
                <w:sz w:val="21"/>
                <w:szCs w:val="18"/>
                <w:highlight w:val="none"/>
                <w:lang w:val="en-US" w:eastAsia="zh-CN" w:bidi="ar"/>
              </w:rPr>
              <w:t>是</w:t>
            </w:r>
            <w:bookmarkEnd w:id="104"/>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5" w:name="投标保证金"/>
            <w:r>
              <w:rPr>
                <w:rFonts w:hint="eastAsia" w:hAnsi="宋体" w:cs="宋体"/>
                <w:color w:val="auto"/>
                <w:sz w:val="21"/>
                <w:szCs w:val="21"/>
                <w:highlight w:val="none"/>
                <w:u w:val="single"/>
                <w:lang w:val="en-US" w:eastAsia="zh-CN"/>
              </w:rPr>
              <w:t>50000.00</w:t>
            </w:r>
            <w:bookmarkEnd w:id="105"/>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2026年运维分公司柴油发电机设备维护服务</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06" w:name="是否提供履约保证金"/>
            <w:r>
              <w:rPr>
                <w:rFonts w:hint="eastAsia" w:hAnsi="宋体" w:cs="宋体"/>
                <w:b w:val="0"/>
                <w:bCs w:val="0"/>
                <w:color w:val="auto"/>
                <w:kern w:val="0"/>
                <w:sz w:val="21"/>
                <w:szCs w:val="18"/>
                <w:highlight w:val="none"/>
                <w:lang w:val="en-US" w:eastAsia="zh-CN" w:bidi="ar"/>
              </w:rPr>
              <w:t>是</w:t>
            </w:r>
            <w:bookmarkEnd w:id="106"/>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07" w:name="履约保证金"/>
            <w:r>
              <w:rPr>
                <w:rFonts w:hint="eastAsia" w:hAnsi="宋体"/>
                <w:color w:val="auto"/>
                <w:kern w:val="2"/>
                <w:sz w:val="21"/>
                <w:szCs w:val="21"/>
                <w:highlight w:val="none"/>
                <w:u w:val="single"/>
                <w:lang w:val="en-US" w:eastAsia="zh-CN"/>
              </w:rPr>
              <w:t>合同金额的5%</w:t>
            </w:r>
            <w:bookmarkEnd w:id="107"/>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2026年运维分公司柴油发电机设备维护服务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F76001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盖章版扫描件（原件或彩色复印件的扫描件均可）PDF格式一份（内容须包括竞争性比选响应文件全部内容，所有文件均须逐页加盖报价人的单位公章）、excel格式报价清单一份）。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F7AFD4E">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6、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17E8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DEA148F">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210" w:type="dxa"/>
            <w:gridSpan w:val="2"/>
            <w:vAlign w:val="center"/>
          </w:tcPr>
          <w:p w14:paraId="4BF29D43">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本项目报价含维护设备的所有</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配件及耗材的更换及维修费用。</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配件及耗材费用暂定</w:t>
            </w:r>
            <w:r>
              <w:rPr>
                <w:rFonts w:hint="eastAsia" w:ascii="宋体" w:hAnsi="宋体" w:cs="宋体"/>
                <w:color w:val="auto"/>
                <w:kern w:val="0"/>
                <w:szCs w:val="21"/>
                <w:highlight w:val="none"/>
                <w:lang w:val="en-US" w:eastAsia="zh-CN"/>
              </w:rPr>
              <w:t>65</w:t>
            </w:r>
            <w:r>
              <w:rPr>
                <w:rFonts w:hint="eastAsia" w:ascii="宋体" w:hAnsi="宋体" w:eastAsia="宋体" w:cs="宋体"/>
                <w:color w:val="auto"/>
                <w:kern w:val="0"/>
                <w:szCs w:val="21"/>
                <w:highlight w:val="none"/>
                <w:lang w:val="en-US" w:eastAsia="zh-CN"/>
              </w:rPr>
              <w:t>万元，在维护过程中价格按《重庆首讯科技股份有限公司非必须招标采购管理办法(修订）》进行谈判或审价等方式确定，维护完工时所结算的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w:t>
            </w:r>
            <w:r>
              <w:rPr>
                <w:rFonts w:hint="eastAsia" w:ascii="宋体" w:hAnsi="宋体" w:cs="宋体"/>
                <w:color w:val="auto"/>
                <w:kern w:val="0"/>
                <w:szCs w:val="21"/>
                <w:highlight w:val="none"/>
                <w:lang w:val="en-US" w:eastAsia="zh-CN"/>
              </w:rPr>
              <w:t>65</w:t>
            </w:r>
            <w:r>
              <w:rPr>
                <w:rFonts w:hint="eastAsia" w:ascii="宋体" w:hAnsi="宋体" w:eastAsia="宋体" w:cs="宋体"/>
                <w:color w:val="auto"/>
                <w:kern w:val="0"/>
                <w:szCs w:val="21"/>
                <w:highlight w:val="none"/>
                <w:lang w:val="en-US" w:eastAsia="zh-CN"/>
              </w:rPr>
              <w:t>万元则按</w:t>
            </w:r>
            <w:r>
              <w:rPr>
                <w:rFonts w:hint="eastAsia" w:ascii="宋体" w:hAnsi="宋体" w:cs="宋体"/>
                <w:color w:val="auto"/>
                <w:kern w:val="0"/>
                <w:szCs w:val="21"/>
                <w:highlight w:val="none"/>
                <w:lang w:val="en-US" w:eastAsia="zh-CN"/>
              </w:rPr>
              <w:t>65</w:t>
            </w:r>
            <w:r>
              <w:rPr>
                <w:rFonts w:hint="eastAsia" w:ascii="宋体" w:hAnsi="宋体" w:eastAsia="宋体" w:cs="宋体"/>
                <w:color w:val="auto"/>
                <w:kern w:val="0"/>
                <w:szCs w:val="21"/>
                <w:highlight w:val="none"/>
                <w:lang w:val="en-US" w:eastAsia="zh-CN"/>
              </w:rPr>
              <w:t>万元计算，若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w:t>
            </w:r>
            <w:r>
              <w:rPr>
                <w:rFonts w:hint="eastAsia" w:ascii="宋体" w:hAnsi="宋体" w:cs="宋体"/>
                <w:color w:val="auto"/>
                <w:kern w:val="0"/>
                <w:szCs w:val="21"/>
                <w:highlight w:val="none"/>
                <w:lang w:val="en-US" w:eastAsia="zh-CN"/>
              </w:rPr>
              <w:t>65</w:t>
            </w:r>
            <w:r>
              <w:rPr>
                <w:rFonts w:hint="eastAsia" w:ascii="宋体" w:hAnsi="宋体" w:eastAsia="宋体" w:cs="宋体"/>
                <w:color w:val="auto"/>
                <w:kern w:val="0"/>
                <w:szCs w:val="21"/>
                <w:highlight w:val="none"/>
                <w:lang w:val="en-US" w:eastAsia="zh-CN"/>
              </w:rPr>
              <w:t>万元则根据审价结果据实结算费用。</w:t>
            </w:r>
          </w:p>
        </w:tc>
      </w:tr>
      <w:bookmarkEnd w:id="102"/>
    </w:tbl>
    <w:p w14:paraId="2240150A">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8" w:name="_Hlt227984024"/>
      <w:bookmarkEnd w:id="108"/>
    </w:p>
    <w:p w14:paraId="5D5B6716">
      <w:pPr>
        <w:pStyle w:val="4"/>
        <w:jc w:val="center"/>
        <w:rPr>
          <w:rFonts w:ascii="宋体" w:hAnsi="宋体" w:eastAsia="宋体" w:cs="宋体"/>
          <w:bCs w:val="0"/>
          <w:color w:val="auto"/>
          <w:sz w:val="28"/>
          <w:szCs w:val="28"/>
          <w:highlight w:val="none"/>
        </w:rPr>
      </w:pPr>
      <w:bookmarkStart w:id="109" w:name="_Toc17532"/>
      <w:bookmarkStart w:id="110" w:name="_Toc30198"/>
      <w:bookmarkStart w:id="111" w:name="_Toc11284"/>
      <w:bookmarkStart w:id="112" w:name="_Toc11329222"/>
      <w:bookmarkStart w:id="113" w:name="_Toc21580"/>
      <w:r>
        <w:rPr>
          <w:rFonts w:hint="eastAsia" w:ascii="宋体" w:hAnsi="宋体" w:eastAsia="宋体" w:cs="宋体"/>
          <w:color w:val="auto"/>
          <w:sz w:val="28"/>
          <w:szCs w:val="28"/>
          <w:highlight w:val="none"/>
        </w:rPr>
        <w:t xml:space="preserve">附录1  </w:t>
      </w:r>
      <w:bookmarkEnd w:id="109"/>
      <w:bookmarkEnd w:id="110"/>
      <w:bookmarkEnd w:id="111"/>
      <w:bookmarkEnd w:id="112"/>
      <w:bookmarkStart w:id="114" w:name="_Toc11329226"/>
      <w:bookmarkStart w:id="115" w:name="_Toc12773"/>
      <w:bookmarkStart w:id="116" w:name="_Toc25591"/>
      <w:bookmarkStart w:id="117" w:name="_Toc27096"/>
      <w:r>
        <w:rPr>
          <w:rFonts w:hint="eastAsia" w:ascii="宋体" w:hAnsi="宋体" w:eastAsia="宋体" w:cs="宋体"/>
          <w:bCs w:val="0"/>
          <w:color w:val="auto"/>
          <w:sz w:val="28"/>
          <w:szCs w:val="28"/>
          <w:highlight w:val="none"/>
        </w:rPr>
        <w:t>报价人资格要求</w:t>
      </w:r>
      <w:bookmarkEnd w:id="113"/>
      <w:bookmarkEnd w:id="114"/>
      <w:bookmarkEnd w:id="115"/>
      <w:bookmarkEnd w:id="116"/>
      <w:bookmarkEnd w:id="117"/>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18" w:name="_Toc388534043"/>
            <w:bookmarkStart w:id="119"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0981E7">
            <w:pPr>
              <w:numPr>
                <w:ilvl w:val="0"/>
                <w:numId w:val="0"/>
              </w:numPr>
              <w:spacing w:line="400" w:lineRule="exact"/>
              <w:ind w:firstLine="420" w:firstLineChars="200"/>
              <w:rPr>
                <w:rFonts w:ascii="宋体" w:hAnsi="宋体" w:cs="宋体"/>
                <w:color w:val="auto"/>
                <w:szCs w:val="21"/>
                <w:highlight w:val="none"/>
              </w:rPr>
            </w:pPr>
            <w:bookmarkStart w:id="120" w:name="资质要求1"/>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bookmarkEnd w:id="120"/>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bookmarkStart w:id="121" w:name="业绩要求1"/>
            <w:r>
              <w:rPr>
                <w:rFonts w:hint="eastAsia" w:ascii="宋体" w:hAnsi="宋体" w:cs="宋体"/>
                <w:color w:val="auto"/>
                <w:sz w:val="21"/>
                <w:szCs w:val="21"/>
                <w:highlight w:val="none"/>
                <w:lang w:val="en-US" w:eastAsia="zh-CN"/>
              </w:rPr>
              <w:t>报价人在2022年1月1日至竞争性比选文件发出之日（以合同签订时间为准）至少具有一项合同金额150万元及以上的类似发电机供货或维护业绩</w:t>
            </w:r>
            <w:r>
              <w:rPr>
                <w:rFonts w:hint="eastAsia" w:ascii="宋体" w:hAnsi="宋体" w:eastAsia="宋体" w:cs="宋体"/>
                <w:color w:val="auto"/>
                <w:sz w:val="21"/>
                <w:szCs w:val="21"/>
                <w:highlight w:val="none"/>
                <w:lang w:val="en-US" w:eastAsia="zh-CN"/>
              </w:rPr>
              <w:t>。</w:t>
            </w:r>
            <w:bookmarkEnd w:id="121"/>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eastAsia="宋体" w:cs="宋体"/>
                <w:color w:val="auto"/>
                <w:sz w:val="21"/>
                <w:szCs w:val="21"/>
                <w:highlight w:val="none"/>
                <w:lang w:val="en-US" w:eastAsia="zh-CN"/>
              </w:rPr>
            </w:pPr>
            <w:bookmarkStart w:id="122" w:name="主要管理人员要求"/>
            <w:bookmarkEnd w:id="122"/>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eastAsia="宋体" w:cs="宋体"/>
                <w:color w:val="auto"/>
                <w:sz w:val="21"/>
                <w:szCs w:val="21"/>
                <w:highlight w:val="none"/>
                <w:lang w:val="en-US" w:eastAsia="zh-CN"/>
              </w:rPr>
            </w:pPr>
            <w:bookmarkStart w:id="123" w:name="其他人员要求"/>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bookmarkEnd w:id="123"/>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4E2F8D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22" w:firstLineChars="200"/>
        <w:textAlignment w:val="auto"/>
        <w:rPr>
          <w:rFonts w:hint="eastAsia" w:hAnsi="宋体"/>
          <w:b/>
          <w:bCs/>
          <w:color w:val="auto"/>
          <w:kern w:val="0"/>
          <w:szCs w:val="21"/>
          <w:highlight w:val="none"/>
        </w:rPr>
      </w:pPr>
      <w:r>
        <w:rPr>
          <w:rFonts w:hint="eastAsia"/>
          <w:b/>
          <w:bCs/>
          <w:color w:val="auto"/>
          <w:highlight w:val="none"/>
          <w:lang w:val="en-US" w:eastAsia="zh-CN"/>
        </w:rPr>
        <w:t>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FCAA52A">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46792A31">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hAnsi="宋体"/>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r>
        <w:rPr>
          <w:rFonts w:hint="eastAsia" w:ascii="Times New Roman" w:hAnsi="Times New Roman" w:eastAsia="宋体" w:cs="Times New Roman"/>
          <w:b/>
          <w:bCs/>
          <w:color w:val="auto"/>
          <w:kern w:val="2"/>
          <w:sz w:val="21"/>
          <w:szCs w:val="21"/>
          <w:highlight w:val="none"/>
          <w:lang w:val="en-US" w:eastAsia="zh-CN" w:bidi="ar-SA"/>
        </w:rPr>
        <w:t>。</w:t>
      </w:r>
    </w:p>
    <w:p w14:paraId="1095416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2E919516">
      <w:pPr>
        <w:pStyle w:val="28"/>
        <w:rPr>
          <w:color w:val="auto"/>
          <w:highlight w:val="none"/>
        </w:rPr>
      </w:pPr>
    </w:p>
    <w:bookmarkEnd w:id="118"/>
    <w:bookmarkEnd w:id="119"/>
    <w:p w14:paraId="31AE6816">
      <w:pPr>
        <w:spacing w:line="440" w:lineRule="exact"/>
        <w:ind w:firstLine="210" w:firstLineChars="100"/>
        <w:rPr>
          <w:rFonts w:ascii="宋体" w:hAnsi="宋体" w:cs="宋体"/>
          <w:color w:val="auto"/>
          <w:highlight w:val="none"/>
        </w:rPr>
      </w:pPr>
    </w:p>
    <w:p w14:paraId="6CF9BDE8">
      <w:pPr>
        <w:rPr>
          <w:rFonts w:ascii="宋体" w:hAnsi="宋体" w:cs="宋体"/>
          <w:color w:val="auto"/>
          <w:highlight w:val="none"/>
        </w:rPr>
      </w:pPr>
    </w:p>
    <w:p w14:paraId="75A4D70E">
      <w:pPr>
        <w:pStyle w:val="3"/>
        <w:keepNext/>
        <w:keepLines/>
        <w:pageBreakBefore w:val="0"/>
        <w:widowControl w:val="0"/>
        <w:numPr>
          <w:ilvl w:val="0"/>
          <w:numId w:val="3"/>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4" w:name="_Toc31719"/>
      <w:bookmarkStart w:id="125" w:name="_Toc31054"/>
      <w:r>
        <w:rPr>
          <w:rFonts w:hint="eastAsia" w:ascii="宋体" w:hAnsi="宋体" w:cs="宋体"/>
          <w:color w:val="auto"/>
          <w:highlight w:val="none"/>
        </w:rPr>
        <w:t>评标办法（综合评估法）</w:t>
      </w:r>
      <w:bookmarkEnd w:id="124"/>
      <w:bookmarkEnd w:id="125"/>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1.报价函的所有数据均符合比选文件的规定</w:t>
            </w:r>
            <w:r>
              <w:rPr>
                <w:rFonts w:hint="eastAsia" w:asciiTheme="minorEastAsia" w:hAnsiTheme="minorEastAsia" w:eastAsiaTheme="minorEastAsia" w:cstheme="minorEastAsia"/>
                <w:color w:val="auto"/>
                <w:szCs w:val="21"/>
                <w:highlight w:val="none"/>
                <w:lang w:eastAsia="zh-CN"/>
              </w:rPr>
              <w:t>。</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2.竞争性比选响应文件附表齐全完整，内容均按规定填写</w:t>
            </w:r>
            <w:r>
              <w:rPr>
                <w:rFonts w:hint="eastAsia" w:asciiTheme="minorEastAsia" w:hAnsiTheme="minorEastAsia" w:eastAsiaTheme="minorEastAsia" w:cstheme="minorEastAsia"/>
                <w:color w:val="auto"/>
                <w:szCs w:val="21"/>
                <w:highlight w:val="none"/>
                <w:lang w:eastAsia="zh-CN"/>
              </w:rPr>
              <w:t>。</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r>
              <w:rPr>
                <w:rFonts w:hint="eastAsia" w:asciiTheme="minorEastAsia" w:hAnsiTheme="minorEastAsia" w:eastAsiaTheme="minorEastAsia" w:cstheme="minorEastAsia"/>
                <w:color w:val="auto"/>
                <w:szCs w:val="21"/>
                <w:highlight w:val="none"/>
                <w:lang w:eastAsia="zh-CN"/>
              </w:rPr>
              <w:t>。</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9165D09">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3F4AC1">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64A87BE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4DDE0145">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698FAC4B">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7FF094D4">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 xml:space="preserve">4、提供详细合理的应急预案，包括但不限于：维护过程常见风险因素应急预案、针对本项目实施过程实际情况可能发生的应急预案。 </w:t>
            </w:r>
          </w:p>
          <w:p w14:paraId="053FF700">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3C3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08ED76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34BB3D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347E39">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38BD5FA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60F1D76E">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vAlign w:val="center"/>
          </w:tcPr>
          <w:p w14:paraId="10BE31A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D4D5B7D">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4B87E45F">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681521C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628165DF">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1E364E65">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在满足资格业绩要求的基础上，报价人在2022年1月1日至竞争性比选文件发出之日（以合同签订时间为准）每增加1个合同金额150万元及以上的类似发电机供货或维护业绩，得2分，本项最多得4分</w:t>
            </w:r>
            <w:r>
              <w:rPr>
                <w:rFonts w:hint="eastAsia" w:ascii="宋体" w:hAnsi="宋体" w:eastAsia="宋体" w:cs="宋体"/>
                <w:color w:val="auto"/>
                <w:kern w:val="0"/>
                <w:szCs w:val="24"/>
                <w:highlight w:val="none"/>
              </w:rPr>
              <w:t>。</w:t>
            </w:r>
          </w:p>
          <w:p w14:paraId="6C65B956">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17EC9EFD">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5CD8A484">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415AB4CD">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6" w:name="_Toc26037"/>
      <w:bookmarkStart w:id="127" w:name="_Toc6735"/>
      <w:bookmarkStart w:id="128" w:name="_Toc19268"/>
      <w:r>
        <w:rPr>
          <w:rFonts w:hint="eastAsia" w:ascii="宋体" w:hAnsi="宋体" w:cs="宋体"/>
          <w:color w:val="auto"/>
          <w:szCs w:val="21"/>
          <w:highlight w:val="none"/>
        </w:rPr>
        <w:t>1.  评标方法</w:t>
      </w:r>
      <w:bookmarkEnd w:id="126"/>
      <w:bookmarkEnd w:id="127"/>
      <w:bookmarkEnd w:id="128"/>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9" w:name="_Toc31759"/>
      <w:bookmarkStart w:id="130" w:name="_Toc8753"/>
      <w:bookmarkStart w:id="131" w:name="_Toc1052"/>
      <w:bookmarkStart w:id="132" w:name="_Toc22200"/>
      <w:r>
        <w:rPr>
          <w:rFonts w:hint="eastAsia" w:ascii="宋体" w:hAnsi="宋体" w:cs="宋体"/>
          <w:color w:val="auto"/>
          <w:szCs w:val="21"/>
          <w:highlight w:val="none"/>
        </w:rPr>
        <w:t>2.  评审标准</w:t>
      </w:r>
      <w:bookmarkEnd w:id="129"/>
      <w:bookmarkEnd w:id="130"/>
      <w:bookmarkEnd w:id="131"/>
      <w:bookmarkEnd w:id="132"/>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3" w:name="_Toc10650"/>
      <w:bookmarkStart w:id="134" w:name="_Toc11564"/>
      <w:bookmarkStart w:id="135" w:name="_Toc8345"/>
      <w:bookmarkStart w:id="136" w:name="_Toc5245"/>
      <w:r>
        <w:rPr>
          <w:rFonts w:hint="eastAsia" w:ascii="宋体" w:hAnsi="宋体" w:cs="宋体"/>
          <w:color w:val="auto"/>
          <w:szCs w:val="21"/>
          <w:highlight w:val="none"/>
        </w:rPr>
        <w:t>3.  评标程序</w:t>
      </w:r>
      <w:bookmarkEnd w:id="133"/>
      <w:bookmarkEnd w:id="134"/>
      <w:bookmarkEnd w:id="135"/>
      <w:bookmarkEnd w:id="136"/>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3"/>
        <w:spacing w:before="0" w:after="0" w:line="360" w:lineRule="auto"/>
        <w:jc w:val="center"/>
        <w:rPr>
          <w:rFonts w:hint="default" w:ascii="宋体" w:hAnsi="宋体" w:eastAsia="宋体" w:cs="宋体"/>
          <w:color w:val="auto"/>
          <w:highlight w:val="none"/>
          <w:lang w:val="en-US" w:eastAsia="zh-CN"/>
        </w:rPr>
      </w:pPr>
      <w:bookmarkStart w:id="137" w:name="_Toc503951043"/>
      <w:bookmarkStart w:id="138" w:name="_Toc152042574"/>
      <w:bookmarkStart w:id="139" w:name="_Toc246997096"/>
      <w:bookmarkStart w:id="140" w:name="_Toc179632804"/>
      <w:bookmarkStart w:id="141" w:name="_Toc514858707"/>
      <w:bookmarkStart w:id="142" w:name="_Toc144974854"/>
      <w:bookmarkStart w:id="143" w:name="_Toc246996353"/>
      <w:bookmarkStart w:id="144" w:name="_Toc247085870"/>
      <w:bookmarkStart w:id="145" w:name="_Toc2000411"/>
      <w:bookmarkStart w:id="146" w:name="_Toc152045785"/>
      <w:bookmarkStart w:id="147" w:name="_Toc513633964"/>
      <w:bookmarkStart w:id="148" w:name="_Toc447827049"/>
      <w:bookmarkStart w:id="149" w:name="_Toc15010"/>
      <w:bookmarkStart w:id="150" w:name="_Toc246996354"/>
      <w:bookmarkStart w:id="151" w:name="_Toc152042575"/>
      <w:bookmarkStart w:id="152" w:name="_Toc246997097"/>
      <w:bookmarkStart w:id="153" w:name="_Toc179632806"/>
      <w:bookmarkStart w:id="154" w:name="_Toc152045786"/>
      <w:bookmarkStart w:id="155" w:name="_Toc144974855"/>
      <w:bookmarkStart w:id="156" w:name="_Toc247085872"/>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37"/>
      <w:bookmarkEnd w:id="138"/>
      <w:bookmarkEnd w:id="139"/>
      <w:bookmarkEnd w:id="140"/>
      <w:bookmarkEnd w:id="141"/>
      <w:bookmarkEnd w:id="142"/>
      <w:bookmarkEnd w:id="143"/>
      <w:bookmarkEnd w:id="144"/>
      <w:bookmarkEnd w:id="145"/>
      <w:bookmarkEnd w:id="146"/>
      <w:bookmarkEnd w:id="147"/>
      <w:bookmarkEnd w:id="148"/>
      <w:r>
        <w:rPr>
          <w:rFonts w:hint="eastAsia" w:ascii="宋体" w:hAnsi="宋体" w:cs="宋体"/>
          <w:color w:val="auto"/>
          <w:highlight w:val="none"/>
          <w:lang w:val="en-US" w:eastAsia="zh-CN"/>
        </w:rPr>
        <w:t>服务要求</w:t>
      </w:r>
      <w:bookmarkEnd w:id="149"/>
    </w:p>
    <w:bookmarkEnd w:id="150"/>
    <w:bookmarkEnd w:id="151"/>
    <w:bookmarkEnd w:id="152"/>
    <w:bookmarkEnd w:id="153"/>
    <w:bookmarkEnd w:id="154"/>
    <w:bookmarkEnd w:id="155"/>
    <w:bookmarkEnd w:id="156"/>
    <w:p w14:paraId="1F3B3D9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方正小标宋_GBK" w:hAnsi="方正小标宋_GBK" w:eastAsia="方正小标宋_GBK" w:cs="方正小标宋_GBK"/>
          <w:sz w:val="44"/>
          <w:szCs w:val="44"/>
          <w:highlight w:val="none"/>
        </w:rPr>
      </w:pPr>
      <w:bookmarkStart w:id="157" w:name="_Toc2000412"/>
      <w:bookmarkStart w:id="158" w:name="_Toc514858708"/>
      <w:bookmarkStart w:id="159" w:name="_Toc514430114"/>
      <w:bookmarkStart w:id="160" w:name="_Toc246996355"/>
      <w:bookmarkStart w:id="161" w:name="_Toc152042576"/>
      <w:bookmarkStart w:id="162" w:name="_Toc507320039"/>
      <w:bookmarkStart w:id="163" w:name="_Toc152045787"/>
      <w:bookmarkStart w:id="164" w:name="_Toc246997098"/>
      <w:bookmarkStart w:id="165" w:name="_Toc144974856"/>
      <w:bookmarkStart w:id="166" w:name="_Toc179632807"/>
      <w:bookmarkStart w:id="167" w:name="_Toc247085873"/>
      <w:r>
        <w:rPr>
          <w:rFonts w:hint="eastAsia" w:ascii="仿宋" w:hAnsi="仿宋" w:eastAsia="仿宋" w:cs="仿宋"/>
          <w:b/>
          <w:color w:val="000000"/>
          <w:kern w:val="0"/>
          <w:sz w:val="32"/>
          <w:szCs w:val="32"/>
          <w:highlight w:val="none"/>
        </w:rPr>
        <w:t>柴油发电机维护技术标准和要求</w:t>
      </w:r>
    </w:p>
    <w:p w14:paraId="4AB7AA4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一、维护工作范围</w:t>
      </w:r>
    </w:p>
    <w:p w14:paraId="37AF3CB7">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对高速公路的隧道、收费站、服务区的配电房内柴油发电机组和路段移动发电机组进行巡检、保养、维护、维修工作，包括以下范围：</w:t>
      </w:r>
    </w:p>
    <w:p w14:paraId="7DCEE191">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发动机及相关组件：散热器、机油加注口、冷却风扇、高压油泵、手压油泵、进油管、回油管、油水分离器、柴油发动机、启动装置、节温器、喷油器、减压阀、启动按钮及开关（钥匙锁）、调压器、整流器、调速板、单向阀、调校油泵、电动油泵、燃料装置及滤清器总成、空气滤清器、柴油滤清器、机油滤清器等。</w:t>
      </w:r>
    </w:p>
    <w:p w14:paraId="5E479823">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2.发动机的防冻液、机油、部件润滑油及装置、减震装置等。</w:t>
      </w:r>
    </w:p>
    <w:p w14:paraId="04A7D493">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3.各类传感器：水位传感器、机油压力传感器、速度传感器等各类传感器。</w:t>
      </w:r>
    </w:p>
    <w:p w14:paraId="126E76F3">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4.发电机及相关组件：感光板、发光板、整流桥、调压器、输出开关、各类继电器等。</w:t>
      </w:r>
    </w:p>
    <w:p w14:paraId="4DFC1611">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5.机组控制屏及相关组件：电压表、频率表、电流表、合闸指示灯、启动控制板、EIM各类模块等。</w:t>
      </w:r>
    </w:p>
    <w:p w14:paraId="17302F42">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6.在每台设备保养维护完成后负责处理发电机室的环境清洁。</w:t>
      </w:r>
    </w:p>
    <w:p w14:paraId="36A37F77">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二、</w:t>
      </w:r>
      <w:bookmarkStart w:id="168" w:name="OLE_LINK1"/>
      <w:r>
        <w:rPr>
          <w:rFonts w:hint="eastAsia"/>
          <w:highlight w:val="none"/>
        </w:rPr>
        <w:t>维护工程量清单（</w:t>
      </w:r>
      <w:bookmarkEnd w:id="168"/>
      <w:r>
        <w:rPr>
          <w:rFonts w:hint="eastAsia"/>
          <w:highlight w:val="none"/>
        </w:rPr>
        <w:t>详见附件：报价清单，另册）</w:t>
      </w:r>
    </w:p>
    <w:p w14:paraId="2F89AC2B">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三、维护内容及要求</w:t>
      </w:r>
    </w:p>
    <w:p w14:paraId="4348AA1E">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1.合同期内对维护工程量清单内包含的柴油发电机每年进行</w:t>
      </w:r>
      <w:r>
        <w:rPr>
          <w:highlight w:val="none"/>
        </w:rPr>
        <w:t>2</w:t>
      </w:r>
      <w:r>
        <w:rPr>
          <w:rFonts w:hint="eastAsia"/>
          <w:highlight w:val="none"/>
        </w:rPr>
        <w:t>次例行的巡检、保养工作，每次巡检、保养工作中需要对柴油发电机组的空气滤清器、柴油滤清器、机油滤清器进行更换，对柴油发电机组的机油、防冻液进行更换、补充；同时对柴油发电机组进行维护和整体清洁，完成发电机室的环境的清洁等工作；发包人对滤清器和机油更换进行了要求，详见后附表1。</w:t>
      </w:r>
    </w:p>
    <w:p w14:paraId="5638F01A">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2.接到故障报修或巡检中发现的故障应及时修复，除需整个机组、发动机、发电机更换或大修外，发包人不再另行支付故障维修的费用，发包人对主要材料的品牌进行了要求，详见后附表2。</w:t>
      </w:r>
    </w:p>
    <w:p w14:paraId="43AC869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3.维护时应对柴油发电机组进行试车，试车时间不少于</w:t>
      </w:r>
      <w:r>
        <w:rPr>
          <w:highlight w:val="none"/>
        </w:rPr>
        <w:t>2</w:t>
      </w:r>
      <w:r>
        <w:rPr>
          <w:rFonts w:hint="eastAsia"/>
          <w:highlight w:val="none"/>
        </w:rPr>
        <w:t>0分钟，测试柴油发电机组起停、油压、温度及机械动作是否正常，柴油发电机组预热情况是否正常，自动调节励磁、响应时间是否正常。有无异响、过热、震动的情况。</w:t>
      </w:r>
    </w:p>
    <w:p w14:paraId="4EA1A61F">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4.检查发动机外观有无污染、损伤；计量表有无漏油、漏水等异常情况；检查“三清”更换情况，发电机各个部位有无松动。</w:t>
      </w:r>
    </w:p>
    <w:p w14:paraId="47AA735A">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5.检查发电机外观有无污染、损伤；对轴承进行加油润滑；检查电刷的接触状态机磨损情况。</w:t>
      </w:r>
    </w:p>
    <w:p w14:paraId="52F480D2">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6.检查柴油发电机组各个连接线路是否可靠，绝缘是否正常，线路温度是否正常。</w:t>
      </w:r>
    </w:p>
    <w:p w14:paraId="427D47F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7.检查启动装置外观有无污染、损伤，空气压缩机的润滑油量是否足够，计量表是否正常，有无异响、震动，各部件有无污染、损伤，有无松动、变形，直流电动机是否正常、满足要求，检查柴油发电机组电池是否正常，必要时进行更换。</w:t>
      </w:r>
    </w:p>
    <w:p w14:paraId="121E1D77">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8.检查燃料装置外观有无污染、损伤、有无漏油情况，油泵运行状态是否正常，燃料过滤器的手动操作是否正常，油料计和漏油开关动作是否正常，储油槽的排水泵是否正常，各个部分有无松动。</w:t>
      </w:r>
    </w:p>
    <w:p w14:paraId="3F6DF89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9.检查润滑油装置外观有无污染、损伤，泵的运行是否正常，油的黏度是否满足要求，保温装置的运行状态有无异常，必要时进行除渣排水。</w:t>
      </w:r>
    </w:p>
    <w:p w14:paraId="0F3F4824">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10.检查散热器或冷却塔外观有无污染、损伤，冷却水量、水温是否正常、有无漏水情况，风扇及压力栓工作状态是否正常。</w:t>
      </w:r>
    </w:p>
    <w:p w14:paraId="17A2A96C">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11.检查空气净化器和换气扇的外观有无污染、损伤，工作状态是否异常，排气颜色是否异常，排气管、支撑接头有无裂纹、腐蚀。</w:t>
      </w:r>
    </w:p>
    <w:p w14:paraId="1708C61D">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12.检查减震装置、减震橡胶、锚具螺栓有无变形、损伤。</w:t>
      </w:r>
    </w:p>
    <w:p w14:paraId="6A619D89">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13.检查控制台外观有无污染、损伤，计量仪表、显示灯、故障显示器有无异常，操作开关、继电器、电磁开关、配线断路器等有无异常，柜内配线有无异常、污染、损伤、过热、松动、断线等情况，测量电流、电压是否异常，运行时间计量是否正常。</w:t>
      </w:r>
    </w:p>
    <w:p w14:paraId="6BAC4DCC">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14.检查配线管和接地线有无松动、断线，接地电阻是否正常。</w:t>
      </w:r>
    </w:p>
    <w:p w14:paraId="01006B9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highlight w:val="none"/>
        </w:rPr>
      </w:pPr>
      <w:r>
        <w:rPr>
          <w:rFonts w:hint="eastAsia"/>
          <w:highlight w:val="none"/>
        </w:rPr>
        <w:t>15、对机组累计运行1000小时以上机组，进行带载运行测试，带载率60-80%，检查发动机功率衰减情况及机组带载能力，时间30分钟，承包人自备假负载。</w:t>
      </w:r>
    </w:p>
    <w:p w14:paraId="5C42E5DE">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w:t>
      </w:r>
      <w:r>
        <w:rPr>
          <w:highlight w:val="none"/>
        </w:rPr>
        <w:t>6</w:t>
      </w:r>
      <w:r>
        <w:rPr>
          <w:rFonts w:hint="eastAsia"/>
          <w:highlight w:val="none"/>
        </w:rPr>
        <w:t>后附表</w:t>
      </w:r>
    </w:p>
    <w:p w14:paraId="7B107C63">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后附表1：</w:t>
      </w:r>
    </w:p>
    <w:tbl>
      <w:tblPr>
        <w:tblStyle w:val="4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485"/>
        <w:gridCol w:w="1134"/>
        <w:gridCol w:w="5121"/>
      </w:tblGrid>
      <w:tr w14:paraId="2CC1E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2" w:hRule="atLeast"/>
          <w:jc w:val="center"/>
        </w:trPr>
        <w:tc>
          <w:tcPr>
            <w:tcW w:w="8740" w:type="dxa"/>
            <w:gridSpan w:val="3"/>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4F0E8D9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highlight w:val="none"/>
              </w:rPr>
            </w:pPr>
            <w:r>
              <w:rPr>
                <w:rFonts w:hint="eastAsia" w:ascii="宋体" w:hAnsi="宋体"/>
                <w:b/>
                <w:bCs/>
                <w:highlight w:val="none"/>
              </w:rPr>
              <w:t>滤清器及机油更换要求</w:t>
            </w:r>
          </w:p>
        </w:tc>
      </w:tr>
      <w:tr w14:paraId="4BCD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2"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15CA3C2F">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highlight w:val="none"/>
              </w:rPr>
            </w:pPr>
            <w:r>
              <w:rPr>
                <w:rFonts w:hint="eastAsia" w:ascii="宋体" w:hAnsi="宋体"/>
                <w:b/>
                <w:bCs/>
                <w:highlight w:val="none"/>
              </w:rPr>
              <w:t>设备名称</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0FFB1E8B">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highlight w:val="none"/>
              </w:rPr>
            </w:pPr>
            <w:r>
              <w:rPr>
                <w:rFonts w:hint="eastAsia" w:ascii="宋体" w:hAnsi="宋体"/>
                <w:b/>
                <w:bCs/>
                <w:highlight w:val="none"/>
              </w:rPr>
              <w:t>单位</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47F5C68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bCs/>
                <w:highlight w:val="none"/>
              </w:rPr>
            </w:pPr>
            <w:r>
              <w:rPr>
                <w:rFonts w:hint="eastAsia" w:ascii="宋体" w:hAnsi="宋体"/>
                <w:b/>
                <w:bCs/>
                <w:highlight w:val="none"/>
              </w:rPr>
              <w:t>品牌要求</w:t>
            </w:r>
          </w:p>
        </w:tc>
      </w:tr>
      <w:tr w14:paraId="7280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2"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037937B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空气滤清器更换</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50B1F94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套</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40E14D42">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highlight w:val="none"/>
              </w:rPr>
            </w:pPr>
            <w:r>
              <w:rPr>
                <w:rFonts w:hint="eastAsia" w:ascii="宋体" w:hAnsi="宋体"/>
                <w:highlight w:val="none"/>
              </w:rPr>
              <w:t>原厂或同档次品牌</w:t>
            </w:r>
          </w:p>
        </w:tc>
      </w:tr>
      <w:tr w14:paraId="1FC51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2"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13A4D5DD">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柴油滤清器更换</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30BA1E4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套</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538B230A">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highlight w:val="none"/>
              </w:rPr>
            </w:pPr>
            <w:r>
              <w:rPr>
                <w:rFonts w:hint="eastAsia" w:ascii="宋体" w:hAnsi="宋体"/>
                <w:highlight w:val="none"/>
              </w:rPr>
              <w:t>原厂或同档次品牌</w:t>
            </w:r>
          </w:p>
        </w:tc>
      </w:tr>
      <w:tr w14:paraId="6AC2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2"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1B8BE09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机油滤清器更换</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7E0FAE0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套</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226F18D0">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highlight w:val="none"/>
              </w:rPr>
            </w:pPr>
            <w:r>
              <w:rPr>
                <w:rFonts w:hint="eastAsia" w:ascii="宋体" w:hAnsi="宋体"/>
                <w:highlight w:val="none"/>
              </w:rPr>
              <w:t>原厂或同档次品牌</w:t>
            </w:r>
          </w:p>
        </w:tc>
      </w:tr>
      <w:tr w14:paraId="7895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5"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2E10C68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机油更换</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14633B4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升</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66244CC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品牌范围：为美孚、壳牌、嘉美特或同档次品牌</w:t>
            </w:r>
          </w:p>
        </w:tc>
      </w:tr>
      <w:tr w14:paraId="0B81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99" w:hRule="atLeast"/>
          <w:jc w:val="center"/>
        </w:trPr>
        <w:tc>
          <w:tcPr>
            <w:tcW w:w="2485"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14:paraId="212C0CE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防冻液</w:t>
            </w:r>
          </w:p>
        </w:tc>
        <w:tc>
          <w:tcPr>
            <w:tcW w:w="1134"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7844821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升</w:t>
            </w:r>
          </w:p>
        </w:tc>
        <w:tc>
          <w:tcPr>
            <w:tcW w:w="5121" w:type="dxa"/>
            <w:tcBorders>
              <w:top w:val="single" w:color="auto" w:sz="4" w:space="0"/>
              <w:left w:val="nil"/>
              <w:bottom w:val="single" w:color="auto" w:sz="4" w:space="0"/>
              <w:right w:val="single" w:color="auto" w:sz="4" w:space="0"/>
            </w:tcBorders>
            <w:shd w:val="clear" w:color="auto" w:fill="FFFFFF"/>
            <w:tcMar>
              <w:top w:w="0" w:type="dxa"/>
              <w:left w:w="108" w:type="dxa"/>
              <w:bottom w:w="0" w:type="dxa"/>
              <w:right w:w="108" w:type="dxa"/>
            </w:tcMar>
            <w:vAlign w:val="center"/>
          </w:tcPr>
          <w:p w14:paraId="08F6C8E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highlight w:val="none"/>
              </w:rPr>
              <w:t>长城或同档次品牌</w:t>
            </w:r>
            <w:bookmarkStart w:id="227" w:name="_GoBack"/>
            <w:bookmarkEnd w:id="227"/>
          </w:p>
        </w:tc>
      </w:tr>
    </w:tbl>
    <w:p w14:paraId="79EB2E08">
      <w:pPr>
        <w:keepNext w:val="0"/>
        <w:keepLines w:val="0"/>
        <w:pageBreakBefore w:val="0"/>
        <w:kinsoku/>
        <w:wordWrap/>
        <w:overflowPunct/>
        <w:topLinePunct w:val="0"/>
        <w:autoSpaceDE/>
        <w:autoSpaceDN/>
        <w:bidi w:val="0"/>
        <w:adjustRightInd/>
        <w:snapToGrid/>
        <w:spacing w:line="360" w:lineRule="auto"/>
        <w:textAlignment w:val="auto"/>
        <w:rPr>
          <w:highlight w:val="none"/>
        </w:rPr>
      </w:pPr>
    </w:p>
    <w:p w14:paraId="360A1693">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后附表2：</w:t>
      </w:r>
    </w:p>
    <w:tbl>
      <w:tblPr>
        <w:tblStyle w:val="42"/>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266"/>
        <w:gridCol w:w="4046"/>
        <w:gridCol w:w="2768"/>
      </w:tblGrid>
      <w:tr w14:paraId="520B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6" w:hRule="atLeast"/>
          <w:jc w:val="center"/>
        </w:trPr>
        <w:tc>
          <w:tcPr>
            <w:tcW w:w="9080" w:type="dxa"/>
            <w:gridSpan w:val="3"/>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7CDF70C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b/>
                <w:bCs/>
                <w:highlight w:val="none"/>
              </w:rPr>
              <w:t>主要材料品牌及型号</w:t>
            </w:r>
          </w:p>
        </w:tc>
      </w:tr>
      <w:tr w14:paraId="6189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4"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3F300DA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highlight w:val="none"/>
              </w:rPr>
            </w:pPr>
            <w:r>
              <w:rPr>
                <w:rFonts w:hint="eastAsia" w:ascii="宋体" w:hAnsi="宋体"/>
                <w:b/>
                <w:highlight w:val="none"/>
              </w:rPr>
              <w:t>材料名称</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A9AB11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highlight w:val="none"/>
              </w:rPr>
            </w:pPr>
            <w:r>
              <w:rPr>
                <w:rFonts w:hint="eastAsia" w:ascii="宋体" w:hAnsi="宋体"/>
                <w:b/>
                <w:highlight w:val="none"/>
              </w:rPr>
              <w:t>厂家或产地</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4B2746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highlight w:val="none"/>
              </w:rPr>
            </w:pPr>
            <w:r>
              <w:rPr>
                <w:rFonts w:hint="eastAsia" w:ascii="宋体" w:hAnsi="宋体"/>
                <w:b/>
                <w:highlight w:val="none"/>
              </w:rPr>
              <w:t>型号</w:t>
            </w:r>
          </w:p>
          <w:p w14:paraId="78EAA24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
                <w:highlight w:val="none"/>
              </w:rPr>
            </w:pPr>
            <w:r>
              <w:rPr>
                <w:rFonts w:hint="eastAsia" w:ascii="宋体" w:hAnsi="宋体"/>
                <w:b/>
                <w:highlight w:val="none"/>
              </w:rPr>
              <w:t>（以下示例、按需更换）</w:t>
            </w:r>
          </w:p>
        </w:tc>
      </w:tr>
      <w:tr w14:paraId="62B7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4"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0203885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免维护电池</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C077B1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原厂商或骆驼、鸿雁</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AA34D3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80AH/12V、100AH/12V、120AH/12V、200AH/12V等</w:t>
            </w:r>
          </w:p>
        </w:tc>
      </w:tr>
      <w:tr w14:paraId="3E6FA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0D8ABD0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智能浮充充电器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8DDB53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原厂商或众智、凯讯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3F9E3EF6">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12V/10A、24V/10A等</w:t>
            </w:r>
          </w:p>
        </w:tc>
      </w:tr>
      <w:tr w14:paraId="42AD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2EF9C6F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启动继电器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79F985A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原厂商或德国博世</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E9AA51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24V/30A等</w:t>
            </w:r>
          </w:p>
        </w:tc>
      </w:tr>
      <w:tr w14:paraId="3ED2C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1"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2A6C0E8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控制器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92901B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C85F9C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DEC1000、DEC4000等</w:t>
            </w:r>
          </w:p>
        </w:tc>
      </w:tr>
      <w:tr w14:paraId="5577B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3EC390B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启动控制板</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3CEAE63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763D32A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7A878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10D1C4E6">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感光板</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DCADF1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0A1B6D8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6599C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74FBBDFF">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发光板</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C6E201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77C8A72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6F24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0DE5D8F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整流桥</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4ADD583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4F2C663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6B0AF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4"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3BAD26D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调压器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082AE3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原厂商或KOHLER、英格、利莱森玛、</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DC9BF5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RJB系列、P5系列、</w:t>
            </w:r>
          </w:p>
          <w:p w14:paraId="74C84C8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KD系列等</w:t>
            </w:r>
          </w:p>
        </w:tc>
      </w:tr>
      <w:tr w14:paraId="7BC7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5014648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水位传感器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7BF4A3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4DE6826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2768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6"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106B5C5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机油压力传感器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56A87FD">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9098E5B">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2B0D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09C7C2D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速度传感器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755E315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165717F">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5EFA8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493A1E29">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启动马达电磁开关</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487C3F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CEC660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7C26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2E584A9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水温传感器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36F7EE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3E4BAF2B">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48FF4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6"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36EAB8D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 xml:space="preserve">机油压力传感器            </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C2B2AE6">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C8CB545">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296AA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1"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673659E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底座油箱油位传感器</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41A297F3">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241446E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72483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1"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7C4C065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整流桥</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4B2952B">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BD914F4">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73A0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3469C25A">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EIM模块</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E9AE15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4FB2932">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42C07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9"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28C0C43E">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电动油泵及滤清器总成</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5C974A2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99DB04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7837D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0415FFA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单向阀</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4FDBB06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71CD9CB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488F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71916D01">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调速板</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13BC3C5C">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63ED9DA6">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r w14:paraId="14687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0" w:hRule="atLeast"/>
          <w:jc w:val="center"/>
        </w:trPr>
        <w:tc>
          <w:tcPr>
            <w:tcW w:w="2266" w:type="dxa"/>
            <w:tcBorders>
              <w:top w:val="single" w:color="auto" w:sz="4" w:space="0"/>
              <w:left w:val="single" w:color="auto" w:sz="4" w:space="0"/>
              <w:bottom w:val="single" w:color="auto" w:sz="4" w:space="0"/>
              <w:right w:val="single" w:color="auto" w:sz="4" w:space="0"/>
            </w:tcBorders>
            <w:shd w:val="clear" w:color="auto" w:fill="FFFFFF"/>
            <w:tcMar>
              <w:top w:w="0" w:type="dxa"/>
              <w:left w:w="14" w:type="dxa"/>
              <w:bottom w:w="0" w:type="dxa"/>
              <w:right w:w="14" w:type="dxa"/>
            </w:tcMar>
            <w:vAlign w:val="center"/>
          </w:tcPr>
          <w:p w14:paraId="262CCED0">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调校油泵</w:t>
            </w:r>
          </w:p>
        </w:tc>
        <w:tc>
          <w:tcPr>
            <w:tcW w:w="4046"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02D07487">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r>
              <w:rPr>
                <w:rFonts w:hint="eastAsia" w:ascii="宋体" w:hAnsi="宋体"/>
                <w:bCs/>
                <w:highlight w:val="none"/>
              </w:rPr>
              <w:t>原厂商或KOHLER、康明斯、威尔信</w:t>
            </w:r>
            <w:r>
              <w:rPr>
                <w:rFonts w:hint="eastAsia" w:ascii="宋体" w:hAnsi="宋体"/>
                <w:highlight w:val="none"/>
              </w:rPr>
              <w:t>或同档次品牌</w:t>
            </w:r>
          </w:p>
        </w:tc>
        <w:tc>
          <w:tcPr>
            <w:tcW w:w="2768" w:type="dxa"/>
            <w:tcBorders>
              <w:top w:val="single" w:color="auto" w:sz="4" w:space="0"/>
              <w:left w:val="nil"/>
              <w:bottom w:val="single" w:color="auto" w:sz="4" w:space="0"/>
              <w:right w:val="single" w:color="auto" w:sz="4" w:space="0"/>
            </w:tcBorders>
            <w:shd w:val="clear" w:color="auto" w:fill="FFFFFF"/>
            <w:tcMar>
              <w:top w:w="0" w:type="dxa"/>
              <w:left w:w="14" w:type="dxa"/>
              <w:bottom w:w="0" w:type="dxa"/>
              <w:right w:w="14" w:type="dxa"/>
            </w:tcMar>
            <w:vAlign w:val="center"/>
          </w:tcPr>
          <w:p w14:paraId="37B6E088">
            <w:pPr>
              <w:keepNext w:val="0"/>
              <w:keepLines w:val="0"/>
              <w:pageBreakBefore w:val="0"/>
              <w:kinsoku/>
              <w:wordWrap/>
              <w:overflowPunct/>
              <w:topLinePunct w:val="0"/>
              <w:autoSpaceDE/>
              <w:autoSpaceDN/>
              <w:bidi w:val="0"/>
              <w:adjustRightInd/>
              <w:snapToGrid/>
              <w:spacing w:line="360" w:lineRule="auto"/>
              <w:jc w:val="center"/>
              <w:textAlignment w:val="auto"/>
              <w:rPr>
                <w:rFonts w:ascii="宋体" w:hAnsi="宋体"/>
                <w:bCs/>
                <w:highlight w:val="none"/>
              </w:rPr>
            </w:pPr>
          </w:p>
        </w:tc>
      </w:tr>
    </w:tbl>
    <w:p w14:paraId="07D70F53">
      <w:pPr>
        <w:pStyle w:val="28"/>
        <w:keepNext w:val="0"/>
        <w:keepLines w:val="0"/>
        <w:pageBreakBefore w:val="0"/>
        <w:tabs>
          <w:tab w:val="left" w:pos="1200"/>
          <w:tab w:val="right" w:leader="dot" w:pos="9730"/>
        </w:tabs>
        <w:kinsoku/>
        <w:wordWrap/>
        <w:overflowPunct/>
        <w:topLinePunct w:val="0"/>
        <w:autoSpaceDE/>
        <w:autoSpaceDN/>
        <w:bidi w:val="0"/>
        <w:adjustRightInd/>
        <w:snapToGrid/>
        <w:spacing w:line="360" w:lineRule="auto"/>
        <w:ind w:firstLine="0" w:firstLineChars="0"/>
        <w:textAlignment w:val="auto"/>
        <w:rPr>
          <w:highlight w:val="none"/>
        </w:rPr>
      </w:pPr>
    </w:p>
    <w:p w14:paraId="01CCCDA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四、其他要求</w:t>
      </w:r>
    </w:p>
    <w:p w14:paraId="670C4977">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承包人应自己准备维修所需备品备件，确保在接到发包人报修通知后，承包人需第一时间组织人员赶赴现场开展维修工作，内环以内需4小时内到场、外环以外需8小时内到场；到达现场后，设备故障应在24小时内解决、超过24小时不能修复的重大故障，承包人应在48小时内免费提供备用发电机到场，并书面向发包人报告具体情况。</w:t>
      </w:r>
    </w:p>
    <w:p w14:paraId="513232A4">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2.保养与维护工作前，承包人需向发包人提交工作计划，发包人审核通过后，按计划要求开展保养与维护工作。</w:t>
      </w:r>
    </w:p>
    <w:p w14:paraId="3B341E1D">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5B5DA1EC">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4.设备保养、维护、维修过程中所产生的旧机油、防冻液、电池等废物须按照国家有关规定处置危险废物，不得随意倾倒、堆放，需及时向附近地区环保主管部门认可的、具备“危险废物经营许可证”的回收单位进行处置。承包人须保留相关移交、处置记录，以便发包人核查。</w:t>
      </w:r>
    </w:p>
    <w:p w14:paraId="254A09B5">
      <w:pPr>
        <w:keepNext w:val="0"/>
        <w:keepLines w:val="0"/>
        <w:pageBreakBefore w:val="0"/>
        <w:kinsoku/>
        <w:wordWrap/>
        <w:overflowPunct/>
        <w:topLinePunct w:val="0"/>
        <w:autoSpaceDE/>
        <w:autoSpaceDN/>
        <w:bidi w:val="0"/>
        <w:adjustRightInd/>
        <w:snapToGrid/>
        <w:spacing w:line="360" w:lineRule="auto"/>
        <w:jc w:val="left"/>
        <w:textAlignment w:val="auto"/>
        <w:rPr>
          <w:highlight w:val="yellow"/>
        </w:rPr>
      </w:pPr>
      <w:r>
        <w:rPr>
          <w:highlight w:val="yellow"/>
        </w:rPr>
        <w:t>5</w:t>
      </w:r>
      <w:r>
        <w:rPr>
          <w:rFonts w:hint="eastAsia"/>
          <w:highlight w:val="yellow"/>
        </w:rPr>
        <w:t>．承包人必须具有国家颁发的安全生产许可证，方可参加高速公路设备的维护和维修工作。</w:t>
      </w:r>
    </w:p>
    <w:p w14:paraId="61F80BC8">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highlight w:val="none"/>
        </w:rPr>
        <w:t>6</w:t>
      </w:r>
      <w:r>
        <w:rPr>
          <w:rFonts w:hint="eastAsia"/>
          <w:highlight w:val="none"/>
        </w:rPr>
        <w:t>.承包人由于维护工作不当，造成设施设备损坏的，需照价赔偿。</w:t>
      </w:r>
    </w:p>
    <w:p w14:paraId="792186C9">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五、维护效果</w:t>
      </w:r>
    </w:p>
    <w:p w14:paraId="0F14B1F2">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1.维护后需保证设备完好率为100%。</w:t>
      </w:r>
    </w:p>
    <w:p w14:paraId="6DE39167">
      <w:pPr>
        <w:keepNext w:val="0"/>
        <w:keepLines w:val="0"/>
        <w:pageBreakBefore w:val="0"/>
        <w:kinsoku/>
        <w:wordWrap/>
        <w:overflowPunct/>
        <w:topLinePunct w:val="0"/>
        <w:autoSpaceDE/>
        <w:autoSpaceDN/>
        <w:bidi w:val="0"/>
        <w:adjustRightInd/>
        <w:snapToGrid/>
        <w:spacing w:line="360" w:lineRule="auto"/>
        <w:jc w:val="left"/>
        <w:textAlignment w:val="auto"/>
        <w:rPr>
          <w:highlight w:val="none"/>
        </w:rPr>
      </w:pPr>
      <w:r>
        <w:rPr>
          <w:rFonts w:hint="eastAsia"/>
          <w:highlight w:val="none"/>
        </w:rPr>
        <w:t>2.维护后需保证柴油发电机组各个部件无松动、无异常、工作正常；线路连接正常、可靠；更换的滤清器、机油及防冻液工作正常；电池使用正常。</w:t>
      </w:r>
    </w:p>
    <w:p w14:paraId="25334336">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highlight w:val="none"/>
        </w:rPr>
      </w:pPr>
      <w:r>
        <w:rPr>
          <w:rFonts w:hint="eastAsia"/>
          <w:highlight w:val="none"/>
        </w:rPr>
        <w:t>3.维护后设备表面无明显灰尘、油污；发电机室的环境清洁、干净</w:t>
      </w:r>
      <w:r>
        <w:rPr>
          <w:rFonts w:hint="eastAsia" w:ascii="仿宋" w:hAnsi="仿宋" w:eastAsia="仿宋" w:cs="仿宋"/>
          <w:color w:val="000000"/>
          <w:kern w:val="0"/>
          <w:sz w:val="24"/>
          <w:highlight w:val="none"/>
        </w:rPr>
        <w:t>。</w:t>
      </w:r>
    </w:p>
    <w:p w14:paraId="353E80D8">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69" w:name="_Toc17525"/>
      <w:r>
        <w:rPr>
          <w:rFonts w:hint="eastAsia" w:ascii="宋体" w:hAnsi="宋体" w:eastAsia="宋体" w:cs="宋体"/>
          <w:b/>
          <w:bCs/>
          <w:color w:val="auto"/>
          <w:kern w:val="44"/>
          <w:sz w:val="44"/>
          <w:szCs w:val="44"/>
          <w:highlight w:val="none"/>
          <w:lang w:val="en-US" w:eastAsia="zh-CN" w:bidi="ar-SA"/>
        </w:rPr>
        <w:t xml:space="preserve">第五章  </w:t>
      </w:r>
      <w:bookmarkEnd w:id="157"/>
      <w:bookmarkEnd w:id="158"/>
      <w:bookmarkEnd w:id="159"/>
      <w:r>
        <w:rPr>
          <w:rFonts w:hint="eastAsia" w:ascii="宋体" w:hAnsi="宋体" w:eastAsia="宋体" w:cs="宋体"/>
          <w:b/>
          <w:bCs/>
          <w:color w:val="auto"/>
          <w:kern w:val="44"/>
          <w:sz w:val="44"/>
          <w:szCs w:val="44"/>
          <w:highlight w:val="none"/>
          <w:lang w:val="en-US" w:eastAsia="zh-CN" w:bidi="ar-SA"/>
        </w:rPr>
        <w:t>合同范本</w:t>
      </w:r>
      <w:bookmarkEnd w:id="169"/>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2"/>
        <w:numPr>
          <w:ilvl w:val="0"/>
          <w:numId w:val="4"/>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70" w:name="_Toc513633965"/>
    </w:p>
    <w:p w14:paraId="1DE984FE">
      <w:pPr>
        <w:rPr>
          <w:rFonts w:ascii="宋体" w:hAnsi="宋体" w:cs="宋体"/>
          <w:color w:val="auto"/>
          <w:highlight w:val="none"/>
        </w:rPr>
      </w:pPr>
    </w:p>
    <w:p w14:paraId="6DE31E19">
      <w:pPr>
        <w:pStyle w:val="3"/>
        <w:spacing w:before="0" w:after="0" w:line="360" w:lineRule="auto"/>
        <w:jc w:val="center"/>
        <w:rPr>
          <w:rFonts w:ascii="宋体" w:hAnsi="宋体" w:cs="宋体"/>
          <w:color w:val="auto"/>
          <w:highlight w:val="none"/>
        </w:rPr>
      </w:pPr>
      <w:bookmarkStart w:id="171" w:name="_Toc514858709"/>
      <w:bookmarkStart w:id="172" w:name="_Toc2000413"/>
      <w:bookmarkStart w:id="173"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70"/>
      <w:bookmarkEnd w:id="171"/>
      <w:bookmarkEnd w:id="172"/>
      <w:bookmarkEnd w:id="173"/>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74" w:name="_Toc513633967"/>
      <w:bookmarkStart w:id="175" w:name="_Toc514858710"/>
      <w:bookmarkStart w:id="176"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74"/>
      <w:bookmarkEnd w:id="175"/>
      <w:bookmarkEnd w:id="176"/>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77" w:name="_Toc11329273"/>
      <w:bookmarkStart w:id="178" w:name="_Toc1368"/>
      <w:bookmarkStart w:id="179" w:name="_Toc5459"/>
      <w:bookmarkStart w:id="180" w:name="_Toc28780"/>
      <w:r>
        <w:rPr>
          <w:rFonts w:hint="eastAsia" w:ascii="宋体" w:hAnsi="宋体" w:eastAsia="宋体" w:cs="宋体"/>
          <w:color w:val="auto"/>
          <w:sz w:val="32"/>
          <w:szCs w:val="40"/>
          <w:highlight w:val="none"/>
        </w:rPr>
        <w:t>目    录</w:t>
      </w:r>
      <w:bookmarkEnd w:id="160"/>
      <w:bookmarkEnd w:id="161"/>
      <w:bookmarkEnd w:id="162"/>
      <w:bookmarkEnd w:id="163"/>
      <w:bookmarkEnd w:id="164"/>
      <w:bookmarkEnd w:id="165"/>
      <w:bookmarkEnd w:id="166"/>
      <w:bookmarkEnd w:id="167"/>
      <w:bookmarkEnd w:id="177"/>
      <w:bookmarkEnd w:id="178"/>
      <w:bookmarkEnd w:id="179"/>
      <w:bookmarkEnd w:id="180"/>
    </w:p>
    <w:p w14:paraId="669936BD">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4"/>
        <w:numPr>
          <w:ilvl w:val="0"/>
          <w:numId w:val="6"/>
        </w:numPr>
        <w:spacing w:before="0" w:after="0" w:line="360" w:lineRule="auto"/>
        <w:jc w:val="center"/>
        <w:rPr>
          <w:rFonts w:ascii="宋体" w:hAnsi="宋体" w:eastAsia="宋体" w:cs="宋体"/>
          <w:color w:val="auto"/>
          <w:sz w:val="28"/>
          <w:highlight w:val="none"/>
        </w:rPr>
      </w:pPr>
      <w:bookmarkStart w:id="181" w:name="_Toc447827053"/>
      <w:bookmarkStart w:id="182" w:name="_Toc503951048"/>
      <w:bookmarkStart w:id="183" w:name="_Toc513633969"/>
      <w:r>
        <w:rPr>
          <w:rFonts w:hint="eastAsia" w:ascii="宋体" w:hAnsi="宋体" w:eastAsia="宋体" w:cs="宋体"/>
          <w:color w:val="auto"/>
          <w:sz w:val="28"/>
          <w:highlight w:val="none"/>
        </w:rPr>
        <w:t>竞争性比选响应声明书</w:t>
      </w:r>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AA62125">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84" w:name="_Toc27815"/>
      <w:bookmarkStart w:id="185" w:name="_Toc491883232"/>
    </w:p>
    <w:p w14:paraId="37833702">
      <w:pPr>
        <w:pStyle w:val="41"/>
        <w:rPr>
          <w:color w:val="auto"/>
          <w:highlight w:val="none"/>
        </w:rPr>
      </w:pPr>
    </w:p>
    <w:p w14:paraId="4D0A050F">
      <w:pPr>
        <w:pStyle w:val="41"/>
        <w:rPr>
          <w:color w:val="auto"/>
          <w:highlight w:val="none"/>
        </w:rPr>
      </w:pPr>
    </w:p>
    <w:p w14:paraId="2389618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BAA5F8A">
      <w:pPr>
        <w:pStyle w:val="4"/>
        <w:numPr>
          <w:ilvl w:val="0"/>
          <w:numId w:val="6"/>
        </w:numPr>
        <w:spacing w:before="0" w:after="0" w:line="360" w:lineRule="auto"/>
        <w:jc w:val="center"/>
        <w:rPr>
          <w:rFonts w:hint="eastAsia" w:ascii="宋体" w:hAnsi="宋体" w:eastAsia="宋体" w:cs="宋体"/>
          <w:color w:val="auto"/>
          <w:sz w:val="28"/>
          <w:highlight w:val="none"/>
        </w:rPr>
      </w:pPr>
      <w:bookmarkStart w:id="186" w:name="_Toc15139"/>
      <w:r>
        <w:rPr>
          <w:rFonts w:hint="eastAsia" w:ascii="宋体" w:hAnsi="宋体" w:eastAsia="宋体" w:cs="宋体"/>
          <w:color w:val="auto"/>
          <w:sz w:val="28"/>
          <w:highlight w:val="none"/>
        </w:rPr>
        <w:t>法定代表人身份证明或法定代表人授权委托书</w:t>
      </w:r>
      <w:bookmarkEnd w:id="184"/>
      <w:bookmarkEnd w:id="186"/>
    </w:p>
    <w:bookmarkEnd w:id="185"/>
    <w:p w14:paraId="67306D7F">
      <w:pPr>
        <w:pStyle w:val="4"/>
        <w:spacing w:line="480" w:lineRule="auto"/>
        <w:jc w:val="center"/>
        <w:outlineLvl w:val="2"/>
        <w:rPr>
          <w:rFonts w:ascii="宋体" w:hAnsi="宋体" w:eastAsia="宋体" w:cs="宋体"/>
          <w:color w:val="auto"/>
          <w:sz w:val="24"/>
          <w:szCs w:val="24"/>
          <w:highlight w:val="none"/>
        </w:rPr>
      </w:pPr>
      <w:bookmarkStart w:id="187" w:name="_Toc14141"/>
      <w:bookmarkStart w:id="188" w:name="_Toc20985"/>
      <w:r>
        <w:rPr>
          <w:rFonts w:hint="eastAsia" w:ascii="宋体" w:hAnsi="宋体" w:eastAsia="宋体" w:cs="宋体"/>
          <w:color w:val="auto"/>
          <w:sz w:val="24"/>
          <w:szCs w:val="24"/>
          <w:highlight w:val="none"/>
        </w:rPr>
        <w:t>（一）法定代表人身份证明</w:t>
      </w:r>
      <w:bookmarkEnd w:id="187"/>
      <w:bookmarkEnd w:id="188"/>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9" w:name="_Toc27897"/>
      <w:bookmarkStart w:id="190" w:name="_Toc369531698"/>
      <w:bookmarkStart w:id="191" w:name="_Toc352691662"/>
      <w:r>
        <w:rPr>
          <w:rFonts w:ascii="宋体" w:hAnsi="宋体"/>
          <w:color w:val="auto"/>
          <w:highlight w:val="none"/>
          <w:u w:val="single"/>
        </w:rPr>
        <w:t xml:space="preserve">        </w:t>
      </w:r>
      <w:r>
        <w:rPr>
          <w:rFonts w:ascii="宋体" w:hAnsi="宋体"/>
          <w:color w:val="auto"/>
          <w:highlight w:val="none"/>
        </w:rPr>
        <w:t>年</w:t>
      </w:r>
      <w:bookmarkEnd w:id="189"/>
      <w:bookmarkEnd w:id="190"/>
      <w:bookmarkEnd w:id="191"/>
      <w:r>
        <w:rPr>
          <w:rFonts w:ascii="宋体" w:hAnsi="宋体"/>
          <w:color w:val="auto"/>
          <w:highlight w:val="none"/>
        </w:rPr>
        <w:t>龄</w:t>
      </w:r>
      <w:bookmarkStart w:id="192" w:name="_Toc384308377"/>
      <w:bookmarkStart w:id="193" w:name="_Toc15573"/>
      <w:bookmarkStart w:id="194" w:name="_Toc369531699"/>
      <w:bookmarkStart w:id="195" w:name="_Toc361508754"/>
      <w:bookmarkStart w:id="196" w:name="_Toc152042578"/>
      <w:bookmarkStart w:id="197" w:name="_Toc247514248"/>
      <w:bookmarkStart w:id="198" w:name="_Toc152045789"/>
      <w:bookmarkStart w:id="199" w:name="_Toc352691663"/>
      <w:bookmarkStart w:id="200" w:name="_Toc144974858"/>
      <w:bookmarkStart w:id="201" w:name="_Toc247527829"/>
      <w:bookmarkStart w:id="202" w:name="_Toc300835211"/>
      <w:r>
        <w:rPr>
          <w:rFonts w:ascii="宋体" w:hAnsi="宋体"/>
          <w:color w:val="auto"/>
          <w:highlight w:val="none"/>
        </w:rPr>
        <w:t>：</w:t>
      </w:r>
      <w:bookmarkEnd w:id="192"/>
      <w:bookmarkEnd w:id="193"/>
      <w:bookmarkEnd w:id="194"/>
      <w:bookmarkEnd w:id="195"/>
      <w:bookmarkEnd w:id="196"/>
      <w:bookmarkEnd w:id="197"/>
      <w:bookmarkEnd w:id="198"/>
      <w:bookmarkEnd w:id="199"/>
      <w:bookmarkEnd w:id="200"/>
      <w:bookmarkEnd w:id="201"/>
      <w:bookmarkEnd w:id="202"/>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0D7032B6">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03" w:name="_Toc491883233"/>
      <w:bookmarkStart w:id="204" w:name="_Toc3882"/>
      <w:bookmarkStart w:id="205" w:name="_Toc58"/>
      <w:r>
        <w:rPr>
          <w:rFonts w:hint="eastAsia" w:ascii="宋体" w:hAnsi="宋体" w:eastAsia="宋体" w:cs="宋体"/>
          <w:color w:val="auto"/>
          <w:sz w:val="24"/>
          <w:szCs w:val="24"/>
          <w:highlight w:val="none"/>
        </w:rPr>
        <w:t>（二）</w:t>
      </w:r>
      <w:bookmarkEnd w:id="203"/>
      <w:r>
        <w:rPr>
          <w:rFonts w:hint="eastAsia" w:ascii="宋体" w:hAnsi="宋体" w:eastAsia="宋体" w:cs="宋体"/>
          <w:color w:val="auto"/>
          <w:sz w:val="24"/>
          <w:szCs w:val="24"/>
          <w:highlight w:val="none"/>
        </w:rPr>
        <w:t>法定代表人授权委托书</w:t>
      </w:r>
      <w:bookmarkEnd w:id="204"/>
      <w:bookmarkEnd w:id="205"/>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C5B9131">
      <w:pPr>
        <w:rPr>
          <w:rFonts w:ascii="宋体" w:hAnsi="宋体" w:cs="宋体"/>
          <w:snapToGrid w:val="0"/>
          <w:color w:val="auto"/>
          <w:kern w:val="0"/>
          <w:szCs w:val="21"/>
          <w:highlight w:val="none"/>
        </w:rPr>
      </w:pPr>
    </w:p>
    <w:p w14:paraId="6778F719">
      <w:pPr>
        <w:pStyle w:val="4"/>
        <w:spacing w:before="0" w:after="0" w:line="360" w:lineRule="auto"/>
        <w:jc w:val="center"/>
        <w:rPr>
          <w:rFonts w:ascii="宋体" w:hAnsi="宋体" w:eastAsia="宋体" w:cs="宋体"/>
          <w:color w:val="auto"/>
          <w:sz w:val="28"/>
          <w:highlight w:val="none"/>
        </w:rPr>
      </w:pPr>
      <w:bookmarkStart w:id="206" w:name="_Toc11329275"/>
      <w:bookmarkStart w:id="207" w:name="_Toc31983"/>
      <w:r>
        <w:rPr>
          <w:rFonts w:hint="eastAsia" w:ascii="宋体" w:hAnsi="宋体" w:eastAsia="宋体" w:cs="宋体"/>
          <w:color w:val="auto"/>
          <w:sz w:val="28"/>
          <w:highlight w:val="none"/>
        </w:rPr>
        <w:t>三、</w:t>
      </w:r>
      <w:bookmarkEnd w:id="181"/>
      <w:bookmarkEnd w:id="182"/>
      <w:bookmarkEnd w:id="183"/>
      <w:bookmarkEnd w:id="206"/>
      <w:r>
        <w:rPr>
          <w:rFonts w:hint="eastAsia" w:ascii="宋体" w:hAnsi="宋体" w:eastAsia="宋体" w:cs="宋体"/>
          <w:color w:val="auto"/>
          <w:sz w:val="28"/>
          <w:highlight w:val="none"/>
        </w:rPr>
        <w:t>报价一览表</w:t>
      </w:r>
      <w:bookmarkEnd w:id="207"/>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ascii="宋体" w:hAnsi="宋体"/>
          <w:b/>
          <w:color w:val="auto"/>
          <w:szCs w:val="21"/>
          <w:highlight w:val="none"/>
        </w:rPr>
      </w:pPr>
      <w:bookmarkStart w:id="208" w:name="_Toc513633971"/>
      <w:bookmarkStart w:id="209" w:name="_Toc11329278"/>
      <w:bookmarkStart w:id="210" w:name="_Toc503951050"/>
      <w:bookmarkStart w:id="211" w:name="_Toc179632823"/>
      <w:bookmarkStart w:id="212" w:name="_Toc152045803"/>
      <w:bookmarkStart w:id="213" w:name="_Toc144974871"/>
      <w:bookmarkStart w:id="214" w:name="_Toc246997112"/>
      <w:bookmarkStart w:id="215" w:name="_Toc246996369"/>
      <w:bookmarkStart w:id="216" w:name="_Toc247085887"/>
      <w:bookmarkStart w:id="217" w:name="_Toc447827058"/>
      <w:bookmarkStart w:id="218" w:name="_Toc152042592"/>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7D6CC91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报价表格式：详见附件清单。</w:t>
      </w:r>
    </w:p>
    <w:p w14:paraId="15D3360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39AC250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9" w:name="_Toc11961"/>
      <w:bookmarkStart w:id="220" w:name="_Toc12910"/>
      <w:bookmarkStart w:id="221" w:name="_Toc18757"/>
      <w:bookmarkStart w:id="222" w:name="_Toc4544"/>
      <w:r>
        <w:rPr>
          <w:rFonts w:hint="eastAsia" w:ascii="宋体" w:hAnsi="宋体" w:eastAsia="宋体" w:cs="宋体"/>
          <w:color w:val="auto"/>
          <w:sz w:val="28"/>
          <w:highlight w:val="none"/>
        </w:rPr>
        <w:t>四、资格审查资料</w:t>
      </w:r>
      <w:bookmarkEnd w:id="208"/>
      <w:bookmarkEnd w:id="209"/>
      <w:bookmarkEnd w:id="210"/>
      <w:bookmarkEnd w:id="219"/>
      <w:bookmarkEnd w:id="220"/>
      <w:bookmarkEnd w:id="221"/>
      <w:bookmarkEnd w:id="222"/>
    </w:p>
    <w:bookmarkEnd w:id="211"/>
    <w:bookmarkEnd w:id="212"/>
    <w:bookmarkEnd w:id="213"/>
    <w:bookmarkEnd w:id="214"/>
    <w:bookmarkEnd w:id="215"/>
    <w:bookmarkEnd w:id="216"/>
    <w:bookmarkEnd w:id="217"/>
    <w:bookmarkEnd w:id="218"/>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23" w:name="_Toc513633974"/>
      <w:bookmarkStart w:id="224"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0AE2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91A855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6835D6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67575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452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37A1B0D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6AEBF1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5EA2B64F">
            <w:pPr>
              <w:numPr>
                <w:ilvl w:val="0"/>
                <w:numId w:val="0"/>
              </w:num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p>
        </w:tc>
      </w:tr>
      <w:tr w14:paraId="550D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6CEDE3A0">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19414EA7">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707894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 w:val="21"/>
                <w:szCs w:val="21"/>
                <w:highlight w:val="none"/>
                <w:lang w:val="en-US" w:eastAsia="zh-CN"/>
              </w:rPr>
              <w:t>报价人在2022年1月1日至竞争性比选文件发出之日（以合同签订时间为准）至少具有一项合同金额150万元及以上的类似发电机供货或维护业绩</w:t>
            </w:r>
            <w:r>
              <w:rPr>
                <w:rFonts w:hint="eastAsia" w:ascii="宋体" w:hAnsi="宋体" w:eastAsia="宋体" w:cs="宋体"/>
                <w:color w:val="auto"/>
                <w:sz w:val="21"/>
                <w:szCs w:val="21"/>
                <w:highlight w:val="none"/>
                <w:lang w:val="en-US" w:eastAsia="zh-CN"/>
              </w:rPr>
              <w:t>。</w:t>
            </w:r>
          </w:p>
        </w:tc>
      </w:tr>
      <w:tr w14:paraId="0F60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1C336D1">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B8AD41C">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118A8F69">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E5CC9B5">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tc>
      </w:tr>
      <w:tr w14:paraId="3A869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64" w:type="dxa"/>
            <w:tcBorders>
              <w:top w:val="single" w:color="auto" w:sz="4" w:space="0"/>
              <w:left w:val="single" w:color="auto" w:sz="4" w:space="0"/>
              <w:bottom w:val="single" w:color="auto" w:sz="4" w:space="0"/>
              <w:right w:val="single" w:color="auto" w:sz="4" w:space="0"/>
            </w:tcBorders>
            <w:vAlign w:val="center"/>
          </w:tcPr>
          <w:p w14:paraId="269601D9">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69E85410">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4786E7B">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p>
        </w:tc>
      </w:tr>
      <w:tr w14:paraId="251AE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523085">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6AE8F93E">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6C22F04">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1AD438A">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18B84444">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22" w:firstLineChars="200"/>
        <w:textAlignment w:val="auto"/>
        <w:rPr>
          <w:rFonts w:hint="eastAsia" w:hAnsi="宋体"/>
          <w:b/>
          <w:bCs/>
          <w:color w:val="auto"/>
          <w:kern w:val="0"/>
          <w:szCs w:val="21"/>
          <w:highlight w:val="none"/>
        </w:rPr>
      </w:pPr>
      <w:r>
        <w:rPr>
          <w:rFonts w:hint="eastAsia"/>
          <w:b/>
          <w:bCs/>
          <w:color w:val="auto"/>
          <w:highlight w:val="none"/>
          <w:lang w:val="en-US" w:eastAsia="zh-CN"/>
        </w:rPr>
        <w:t>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075A66A">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68DF2EB6">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hAnsi="宋体"/>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r>
        <w:rPr>
          <w:rFonts w:hint="eastAsia" w:ascii="Times New Roman" w:hAnsi="Times New Roman" w:eastAsia="宋体" w:cs="Times New Roman"/>
          <w:b/>
          <w:bCs/>
          <w:color w:val="auto"/>
          <w:kern w:val="2"/>
          <w:sz w:val="21"/>
          <w:szCs w:val="21"/>
          <w:highlight w:val="none"/>
          <w:lang w:val="en-US" w:eastAsia="zh-CN" w:bidi="ar-SA"/>
        </w:rPr>
        <w:t>。</w:t>
      </w:r>
    </w:p>
    <w:p w14:paraId="7F2A748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08563D4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Times New Roman"/>
          <w:b/>
          <w:bCs/>
          <w:color w:val="auto"/>
          <w:kern w:val="2"/>
          <w:sz w:val="21"/>
          <w:szCs w:val="21"/>
          <w:highlight w:val="none"/>
          <w:lang w:val="en-US" w:eastAsia="zh-CN" w:bidi="ar-SA"/>
        </w:rPr>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p w14:paraId="0116FA75">
      <w:pPr>
        <w:pStyle w:val="2"/>
        <w:rPr>
          <w:rFonts w:hint="eastAsia" w:ascii="Times New Roman" w:hAnsi="Times New Roman" w:eastAsia="宋体" w:cs="Times New Roman"/>
          <w:b/>
          <w:bCs/>
          <w:color w:val="auto"/>
          <w:kern w:val="2"/>
          <w:sz w:val="21"/>
          <w:szCs w:val="21"/>
          <w:highlight w:val="none"/>
          <w:lang w:val="en-US" w:eastAsia="zh-CN" w:bidi="ar-SA"/>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无偏离</w:t>
            </w: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w:t>
      </w:r>
      <w:r>
        <w:rPr>
          <w:rFonts w:hint="eastAsia" w:ascii="宋体" w:hAnsi="宋体" w:cs="Arial"/>
          <w:bCs/>
          <w:color w:val="auto"/>
          <w:kern w:val="0"/>
          <w:sz w:val="21"/>
          <w:szCs w:val="21"/>
          <w:highlight w:val="none"/>
          <w:lang w:val="en-US" w:eastAsia="zh-CN"/>
        </w:rPr>
        <w:t>商务</w:t>
      </w:r>
      <w:r>
        <w:rPr>
          <w:rFonts w:hint="eastAsia" w:ascii="宋体" w:hAnsi="宋体" w:eastAsia="宋体" w:cs="Arial"/>
          <w:bCs/>
          <w:color w:val="auto"/>
          <w:kern w:val="0"/>
          <w:sz w:val="21"/>
          <w:szCs w:val="21"/>
          <w:highlight w:val="none"/>
        </w:rPr>
        <w:t>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359"/>
        <w:gridCol w:w="1950"/>
        <w:gridCol w:w="1800"/>
        <w:gridCol w:w="1315"/>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359"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1950"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800"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315"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359" w:type="dxa"/>
            <w:vAlign w:val="center"/>
          </w:tcPr>
          <w:p w14:paraId="6D0E18BC">
            <w:pPr>
              <w:spacing w:line="360" w:lineRule="auto"/>
              <w:jc w:val="center"/>
              <w:rPr>
                <w:rFonts w:hint="eastAsia" w:ascii="宋体" w:hAnsi="宋体" w:eastAsia="宋体" w:cs="Times New Roman"/>
                <w:color w:val="auto"/>
                <w:szCs w:val="21"/>
                <w:highlight w:val="none"/>
              </w:rPr>
            </w:pPr>
          </w:p>
        </w:tc>
        <w:tc>
          <w:tcPr>
            <w:tcW w:w="1950" w:type="dxa"/>
            <w:vAlign w:val="center"/>
          </w:tcPr>
          <w:p w14:paraId="3D4FDBD8">
            <w:pPr>
              <w:spacing w:line="360" w:lineRule="auto"/>
              <w:jc w:val="center"/>
              <w:rPr>
                <w:rFonts w:hint="eastAsia" w:ascii="宋体" w:hAnsi="宋体" w:eastAsia="宋体" w:cs="Times New Roman"/>
                <w:color w:val="auto"/>
                <w:szCs w:val="21"/>
                <w:highlight w:val="none"/>
              </w:rPr>
            </w:pPr>
          </w:p>
        </w:tc>
        <w:tc>
          <w:tcPr>
            <w:tcW w:w="1800" w:type="dxa"/>
            <w:vAlign w:val="center"/>
          </w:tcPr>
          <w:p w14:paraId="3E839129">
            <w:pPr>
              <w:spacing w:line="360" w:lineRule="auto"/>
              <w:jc w:val="center"/>
              <w:rPr>
                <w:rFonts w:hint="eastAsia" w:ascii="宋体" w:hAnsi="宋体" w:eastAsia="宋体" w:cs="Times New Roman"/>
                <w:color w:val="auto"/>
                <w:szCs w:val="21"/>
                <w:highlight w:val="none"/>
              </w:rPr>
            </w:pPr>
          </w:p>
        </w:tc>
        <w:tc>
          <w:tcPr>
            <w:tcW w:w="1315" w:type="dxa"/>
            <w:vAlign w:val="center"/>
          </w:tcPr>
          <w:p w14:paraId="17AB1E0D">
            <w:pPr>
              <w:spacing w:line="360" w:lineRule="auto"/>
              <w:jc w:val="cente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无偏离</w:t>
            </w:r>
          </w:p>
        </w:tc>
        <w:tc>
          <w:tcPr>
            <w:tcW w:w="1134" w:type="dxa"/>
            <w:vAlign w:val="center"/>
          </w:tcPr>
          <w:p w14:paraId="491D51EE">
            <w:pPr>
              <w:spacing w:line="360" w:lineRule="auto"/>
              <w:jc w:val="center"/>
              <w:rPr>
                <w:rFonts w:hint="eastAsia"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359" w:type="dxa"/>
            <w:vAlign w:val="center"/>
          </w:tcPr>
          <w:p w14:paraId="2C69C59D">
            <w:pPr>
              <w:spacing w:line="360" w:lineRule="auto"/>
              <w:jc w:val="center"/>
              <w:rPr>
                <w:rFonts w:hint="eastAsia" w:ascii="宋体" w:hAnsi="宋体" w:eastAsia="宋体" w:cs="Times New Roman"/>
                <w:color w:val="auto"/>
                <w:szCs w:val="21"/>
                <w:highlight w:val="none"/>
              </w:rPr>
            </w:pPr>
          </w:p>
        </w:tc>
        <w:tc>
          <w:tcPr>
            <w:tcW w:w="1950" w:type="dxa"/>
            <w:vAlign w:val="center"/>
          </w:tcPr>
          <w:p w14:paraId="7A8206B9">
            <w:pPr>
              <w:spacing w:line="360" w:lineRule="auto"/>
              <w:jc w:val="center"/>
              <w:rPr>
                <w:rFonts w:hint="eastAsia" w:ascii="宋体" w:hAnsi="宋体" w:eastAsia="宋体" w:cs="Times New Roman"/>
                <w:color w:val="auto"/>
                <w:szCs w:val="21"/>
                <w:highlight w:val="none"/>
              </w:rPr>
            </w:pPr>
          </w:p>
        </w:tc>
        <w:tc>
          <w:tcPr>
            <w:tcW w:w="1800" w:type="dxa"/>
            <w:vAlign w:val="center"/>
          </w:tcPr>
          <w:p w14:paraId="2E24A417">
            <w:pPr>
              <w:spacing w:line="360" w:lineRule="auto"/>
              <w:jc w:val="center"/>
              <w:rPr>
                <w:rFonts w:hint="eastAsia" w:ascii="宋体" w:hAnsi="宋体" w:eastAsia="宋体" w:cs="Times New Roman"/>
                <w:color w:val="auto"/>
                <w:szCs w:val="21"/>
                <w:highlight w:val="none"/>
              </w:rPr>
            </w:pPr>
          </w:p>
        </w:tc>
        <w:tc>
          <w:tcPr>
            <w:tcW w:w="1315" w:type="dxa"/>
            <w:vAlign w:val="center"/>
          </w:tcPr>
          <w:p w14:paraId="21D982DC">
            <w:pPr>
              <w:spacing w:line="360" w:lineRule="auto"/>
              <w:jc w:val="center"/>
              <w:rPr>
                <w:rFonts w:hint="eastAsia" w:ascii="宋体" w:hAnsi="宋体" w:eastAsia="宋体" w:cs="Times New Roman"/>
                <w:color w:val="auto"/>
                <w:szCs w:val="21"/>
                <w:highlight w:val="none"/>
              </w:rPr>
            </w:pPr>
          </w:p>
        </w:tc>
        <w:tc>
          <w:tcPr>
            <w:tcW w:w="1134" w:type="dxa"/>
            <w:vAlign w:val="center"/>
          </w:tcPr>
          <w:p w14:paraId="5335ED80">
            <w:pPr>
              <w:spacing w:line="360" w:lineRule="auto"/>
              <w:jc w:val="center"/>
              <w:rPr>
                <w:rFonts w:hint="eastAsia"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359" w:type="dxa"/>
            <w:vAlign w:val="center"/>
          </w:tcPr>
          <w:p w14:paraId="66BFCC57">
            <w:pPr>
              <w:spacing w:line="360" w:lineRule="auto"/>
              <w:jc w:val="center"/>
              <w:rPr>
                <w:rFonts w:hint="eastAsia" w:ascii="宋体" w:hAnsi="宋体" w:eastAsia="宋体" w:cs="Times New Roman"/>
                <w:color w:val="auto"/>
                <w:szCs w:val="21"/>
                <w:highlight w:val="none"/>
              </w:rPr>
            </w:pPr>
          </w:p>
        </w:tc>
        <w:tc>
          <w:tcPr>
            <w:tcW w:w="1950" w:type="dxa"/>
            <w:vAlign w:val="center"/>
          </w:tcPr>
          <w:p w14:paraId="0FA15255">
            <w:pPr>
              <w:spacing w:line="360" w:lineRule="auto"/>
              <w:jc w:val="center"/>
              <w:rPr>
                <w:rFonts w:hint="eastAsia" w:ascii="宋体" w:hAnsi="宋体" w:eastAsia="宋体" w:cs="Times New Roman"/>
                <w:color w:val="auto"/>
                <w:szCs w:val="21"/>
                <w:highlight w:val="none"/>
              </w:rPr>
            </w:pPr>
          </w:p>
        </w:tc>
        <w:tc>
          <w:tcPr>
            <w:tcW w:w="1800" w:type="dxa"/>
            <w:vAlign w:val="center"/>
          </w:tcPr>
          <w:p w14:paraId="5B90EE74">
            <w:pPr>
              <w:spacing w:line="360" w:lineRule="auto"/>
              <w:jc w:val="center"/>
              <w:rPr>
                <w:rFonts w:hint="eastAsia" w:ascii="宋体" w:hAnsi="宋体" w:eastAsia="宋体" w:cs="Times New Roman"/>
                <w:color w:val="auto"/>
                <w:szCs w:val="21"/>
                <w:highlight w:val="none"/>
              </w:rPr>
            </w:pPr>
          </w:p>
        </w:tc>
        <w:tc>
          <w:tcPr>
            <w:tcW w:w="1315" w:type="dxa"/>
            <w:vAlign w:val="center"/>
          </w:tcPr>
          <w:p w14:paraId="3C6B268D">
            <w:pPr>
              <w:spacing w:line="360" w:lineRule="auto"/>
              <w:jc w:val="center"/>
              <w:rPr>
                <w:rFonts w:hint="eastAsia" w:ascii="宋体" w:hAnsi="宋体" w:eastAsia="宋体" w:cs="Times New Roman"/>
                <w:color w:val="auto"/>
                <w:szCs w:val="21"/>
                <w:highlight w:val="none"/>
              </w:rPr>
            </w:pPr>
          </w:p>
        </w:tc>
        <w:tc>
          <w:tcPr>
            <w:tcW w:w="1134" w:type="dxa"/>
            <w:vAlign w:val="center"/>
          </w:tcPr>
          <w:p w14:paraId="1BBDF8CD">
            <w:pPr>
              <w:spacing w:line="360" w:lineRule="auto"/>
              <w:jc w:val="center"/>
              <w:rPr>
                <w:rFonts w:hint="eastAsia"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359" w:type="dxa"/>
            <w:vAlign w:val="center"/>
          </w:tcPr>
          <w:p w14:paraId="5D06D08E">
            <w:pPr>
              <w:spacing w:line="360" w:lineRule="auto"/>
              <w:jc w:val="center"/>
              <w:rPr>
                <w:rFonts w:hint="eastAsia" w:ascii="宋体" w:hAnsi="宋体" w:eastAsia="宋体" w:cs="Times New Roman"/>
                <w:color w:val="auto"/>
                <w:szCs w:val="21"/>
                <w:highlight w:val="none"/>
              </w:rPr>
            </w:pPr>
          </w:p>
        </w:tc>
        <w:tc>
          <w:tcPr>
            <w:tcW w:w="1950" w:type="dxa"/>
            <w:vAlign w:val="center"/>
          </w:tcPr>
          <w:p w14:paraId="2FC55CF6">
            <w:pPr>
              <w:spacing w:line="360" w:lineRule="auto"/>
              <w:jc w:val="center"/>
              <w:rPr>
                <w:rFonts w:hint="eastAsia" w:ascii="宋体" w:hAnsi="宋体" w:eastAsia="宋体" w:cs="Times New Roman"/>
                <w:color w:val="auto"/>
                <w:szCs w:val="21"/>
                <w:highlight w:val="none"/>
              </w:rPr>
            </w:pPr>
          </w:p>
        </w:tc>
        <w:tc>
          <w:tcPr>
            <w:tcW w:w="1800" w:type="dxa"/>
            <w:vAlign w:val="center"/>
          </w:tcPr>
          <w:p w14:paraId="774055FA">
            <w:pPr>
              <w:spacing w:line="360" w:lineRule="auto"/>
              <w:jc w:val="center"/>
              <w:rPr>
                <w:rFonts w:hint="eastAsia" w:ascii="宋体" w:hAnsi="宋体" w:eastAsia="宋体" w:cs="Times New Roman"/>
                <w:color w:val="auto"/>
                <w:szCs w:val="21"/>
                <w:highlight w:val="none"/>
              </w:rPr>
            </w:pPr>
          </w:p>
        </w:tc>
        <w:tc>
          <w:tcPr>
            <w:tcW w:w="1315" w:type="dxa"/>
            <w:vAlign w:val="center"/>
          </w:tcPr>
          <w:p w14:paraId="17123E95">
            <w:pPr>
              <w:spacing w:line="360" w:lineRule="auto"/>
              <w:jc w:val="center"/>
              <w:rPr>
                <w:rFonts w:hint="eastAsia" w:ascii="宋体" w:hAnsi="宋体" w:eastAsia="宋体" w:cs="Times New Roman"/>
                <w:color w:val="auto"/>
                <w:szCs w:val="21"/>
                <w:highlight w:val="none"/>
              </w:rPr>
            </w:pPr>
          </w:p>
        </w:tc>
        <w:tc>
          <w:tcPr>
            <w:tcW w:w="1134" w:type="dxa"/>
            <w:vAlign w:val="center"/>
          </w:tcPr>
          <w:p w14:paraId="2351A1DD">
            <w:pPr>
              <w:spacing w:line="360" w:lineRule="auto"/>
              <w:jc w:val="center"/>
              <w:rPr>
                <w:rFonts w:hint="eastAsia"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2"/>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无偏离技术条款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30CDE41D">
      <w:pPr>
        <w:rPr>
          <w:rFonts w:ascii="宋体" w:hAnsi="宋体" w:cs="宋体"/>
          <w:color w:val="auto"/>
          <w:sz w:val="28"/>
          <w:highlight w:val="none"/>
        </w:rPr>
        <w:sectPr>
          <w:pgSz w:w="11906" w:h="16838"/>
          <w:pgMar w:top="1440" w:right="1800" w:bottom="1440" w:left="1800" w:header="851" w:footer="992" w:gutter="0"/>
          <w:cols w:space="720" w:num="1"/>
          <w:titlePg/>
          <w:docGrid w:type="lines" w:linePitch="312" w:charSpace="0"/>
        </w:sectPr>
      </w:pPr>
    </w:p>
    <w:p w14:paraId="50393226">
      <w:pPr>
        <w:spacing w:after="312" w:afterLines="100" w:line="800" w:lineRule="exact"/>
        <w:ind w:firstLine="562"/>
        <w:jc w:val="center"/>
        <w:outlineLvl w:val="3"/>
        <w:rPr>
          <w:rFonts w:hint="default" w:eastAsia="宋体"/>
          <w:highlight w:val="none"/>
          <w:lang w:val="en-US"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四</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lang w:val="en-US" w:eastAsia="zh-CN"/>
        </w:rPr>
        <w:t>人员名单</w:t>
      </w:r>
    </w:p>
    <w:tbl>
      <w:tblPr>
        <w:tblStyle w:val="42"/>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4DDA4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FF87093">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6BF0B02">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59F8DC5A">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407E7545">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31CA8693">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8FBF51A">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48E0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0F587EA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53853B7">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项目负责人</w:t>
            </w:r>
          </w:p>
        </w:tc>
        <w:tc>
          <w:tcPr>
            <w:tcW w:w="1065" w:type="dxa"/>
            <w:tcBorders>
              <w:top w:val="single" w:color="auto" w:sz="4" w:space="0"/>
              <w:left w:val="single" w:color="auto" w:sz="4" w:space="0"/>
              <w:bottom w:val="single" w:color="auto" w:sz="4" w:space="0"/>
              <w:right w:val="single" w:color="auto" w:sz="4" w:space="0"/>
            </w:tcBorders>
            <w:vAlign w:val="center"/>
          </w:tcPr>
          <w:p w14:paraId="11D7D6E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76F563B">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D2BC69F">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41E8D90C">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0134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4233100C">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03EAC27F">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3A76E07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408DB36">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007EBA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14DD0BC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5C97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26FD28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bottom w:val="single" w:color="auto" w:sz="4" w:space="0"/>
              <w:right w:val="single" w:color="auto" w:sz="4" w:space="0"/>
            </w:tcBorders>
            <w:vAlign w:val="center"/>
          </w:tcPr>
          <w:p w14:paraId="30D5C1A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6DD80EC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8C5978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47B0110">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E02B0C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478D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B8ECCCA">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5E2C1A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4962E7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A0EE45B">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CDD426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F87297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472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334CA26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222AFD6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6D23D3F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0F167C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F77FEE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797AD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2E63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C6CD1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757F98F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C95B453">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FA662E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911229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85B44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50F0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F6B060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048D8D9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475CD4D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C69ADF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520F05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F9DE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23C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B3C7A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6DB60FF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4F45C71">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B19AB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DFF466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B84E4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C680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25D1CC3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180DE4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3ACE11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7160D9C1">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22B2DB9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C2C53D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1D3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6D570E36">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right w:val="single" w:color="auto" w:sz="4" w:space="0"/>
            </w:tcBorders>
            <w:vAlign w:val="center"/>
          </w:tcPr>
          <w:p w14:paraId="488BD58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1A0FED4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D5CB83F">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4A880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D32084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bl>
    <w:p w14:paraId="1BFA92AA">
      <w:pPr>
        <w:rPr>
          <w:highlight w:val="none"/>
        </w:rPr>
      </w:pPr>
    </w:p>
    <w:p w14:paraId="41864C73">
      <w:pPr>
        <w:pStyle w:val="2"/>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2"/>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4"/>
        <w:spacing w:before="0" w:after="0" w:line="360" w:lineRule="auto"/>
        <w:jc w:val="center"/>
        <w:rPr>
          <w:rFonts w:ascii="宋体" w:hAnsi="宋体" w:eastAsia="宋体" w:cs="宋体"/>
          <w:color w:val="auto"/>
          <w:sz w:val="28"/>
          <w:highlight w:val="none"/>
        </w:rPr>
      </w:pPr>
      <w:bookmarkStart w:id="225" w:name="_Toc7326"/>
      <w:r>
        <w:rPr>
          <w:rFonts w:hint="eastAsia" w:ascii="宋体" w:hAnsi="宋体" w:eastAsia="宋体" w:cs="宋体"/>
          <w:color w:val="auto"/>
          <w:sz w:val="28"/>
          <w:highlight w:val="none"/>
        </w:rPr>
        <w:t>五、报价人承诺</w:t>
      </w:r>
      <w:bookmarkEnd w:id="225"/>
    </w:p>
    <w:p w14:paraId="62C5C8CA">
      <w:pPr>
        <w:pStyle w:val="2"/>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5BF855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未被列入采购人暂停、终止、永久取消合格供应商资格（列入诚信黑名单）名单内的单位。</w:t>
      </w:r>
    </w:p>
    <w:p w14:paraId="37A845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F036C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04107E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38413E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26" w:name="_Toc22594"/>
      <w:r>
        <w:rPr>
          <w:rFonts w:hint="eastAsia" w:ascii="宋体" w:hAnsi="宋体" w:eastAsia="宋体" w:cs="宋体"/>
          <w:b/>
          <w:bCs/>
          <w:color w:val="auto"/>
          <w:kern w:val="0"/>
          <w:sz w:val="28"/>
          <w:szCs w:val="32"/>
          <w:highlight w:val="none"/>
          <w:lang w:val="en-US" w:eastAsia="zh-CN" w:bidi="ar-SA"/>
        </w:rPr>
        <w:t>六、报价人其他资料</w:t>
      </w:r>
      <w:bookmarkEnd w:id="226"/>
    </w:p>
    <w:p w14:paraId="79A471DA">
      <w:pPr>
        <w:pStyle w:val="2"/>
        <w:rPr>
          <w:rFonts w:ascii="宋体" w:hAnsi="宋体"/>
          <w:color w:val="auto"/>
          <w:sz w:val="24"/>
          <w:highlight w:val="none"/>
        </w:rPr>
      </w:pPr>
    </w:p>
    <w:p w14:paraId="32A95D04">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2"/>
        <w:rPr>
          <w:rFonts w:hint="eastAsia" w:ascii="宋体" w:hAnsi="宋体" w:cs="宋体"/>
          <w:color w:val="auto"/>
          <w:sz w:val="28"/>
          <w:highlight w:val="none"/>
          <w:lang w:eastAsia="zh-CN"/>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32D2B464">
      <w:pPr>
        <w:pStyle w:val="4"/>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4"/>
        <w:spacing w:before="0" w:after="0" w:line="360" w:lineRule="auto"/>
        <w:jc w:val="center"/>
        <w:outlineLvl w:val="9"/>
        <w:rPr>
          <w:rFonts w:hint="eastAsia" w:ascii="宋体" w:hAnsi="宋体" w:eastAsia="宋体" w:cs="宋体"/>
          <w:color w:val="auto"/>
          <w:sz w:val="21"/>
          <w:szCs w:val="21"/>
          <w:highlight w:val="none"/>
        </w:rPr>
      </w:pPr>
    </w:p>
    <w:p w14:paraId="16A78CA5">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四</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2"/>
        <w:rPr>
          <w:color w:val="auto"/>
          <w:highlight w:val="none"/>
        </w:rPr>
      </w:pPr>
    </w:p>
    <w:p w14:paraId="41B20AB5">
      <w:pPr>
        <w:rPr>
          <w:rFonts w:ascii="宋体" w:hAnsi="宋体" w:cs="宋体"/>
          <w:color w:val="auto"/>
          <w:sz w:val="28"/>
          <w:highlight w:val="none"/>
        </w:rPr>
      </w:pPr>
    </w:p>
    <w:bookmarkEnd w:id="223"/>
    <w:bookmarkEnd w:id="224"/>
    <w:p w14:paraId="7D0F392A">
      <w:pPr>
        <w:rPr>
          <w:color w:val="auto"/>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B28F98A-E9EE-4CA4-B385-14DDD572407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71AF12A-E300-4B7E-95B5-201F1ECE0C43}"/>
  </w:font>
  <w:font w:name="方正仿宋_GB2312">
    <w:panose1 w:val="02000000000000000000"/>
    <w:charset w:val="86"/>
    <w:family w:val="auto"/>
    <w:pitch w:val="default"/>
    <w:sig w:usb0="A00002BF" w:usb1="184F6CFA" w:usb2="00000012" w:usb3="00000000" w:csb0="00040001" w:csb1="00000000"/>
    <w:embedRegular r:id="rId3" w:fontKey="{FD1EC6E7-9A4D-4D50-B405-A01D7DFE0DDC}"/>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4" w:fontKey="{3CC2EBF5-580F-47FE-AA1C-EC939690AAD9}"/>
  </w:font>
  <w:font w:name="方正小标宋_GBK">
    <w:panose1 w:val="03000509000000000000"/>
    <w:charset w:val="86"/>
    <w:family w:val="script"/>
    <w:pitch w:val="default"/>
    <w:sig w:usb0="00000001" w:usb1="080E0000" w:usb2="00000000" w:usb3="00000000" w:csb0="00040000" w:csb1="00000000"/>
    <w:embedRegular r:id="rId5" w:fontKey="{0A65AE8E-8869-477D-A6D2-EB3C9F92A502}"/>
  </w:font>
  <w:font w:name="仿宋">
    <w:panose1 w:val="02010609060101010101"/>
    <w:charset w:val="86"/>
    <w:family w:val="modern"/>
    <w:pitch w:val="default"/>
    <w:sig w:usb0="800002BF" w:usb1="38CF7CFA" w:usb2="00000016" w:usb3="00000000" w:csb0="00040001" w:csb1="00000000"/>
    <w:embedRegular r:id="rId6" w:fontKey="{7790809D-8574-4242-816D-F4F4D6B6D1BE}"/>
  </w:font>
  <w:font w:name="WPSEMBED1">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8D180BD"/>
    <w:multiLevelType w:val="singleLevel"/>
    <w:tmpl w:val="38D180BD"/>
    <w:lvl w:ilvl="0" w:tentative="0">
      <w:start w:val="2"/>
      <w:numFmt w:val="decimal"/>
      <w:lvlText w:val="%1."/>
      <w:lvlJc w:val="left"/>
      <w:pPr>
        <w:tabs>
          <w:tab w:val="left" w:pos="312"/>
        </w:tabs>
      </w:pPr>
    </w:lvl>
  </w:abstractNum>
  <w:abstractNum w:abstractNumId="5">
    <w:nsid w:val="61027DAC"/>
    <w:multiLevelType w:val="singleLevel"/>
    <w:tmpl w:val="61027DAC"/>
    <w:lvl w:ilvl="0" w:tentative="0">
      <w:start w:val="1"/>
      <w:numFmt w:val="chineseCounting"/>
      <w:suff w:val="nothing"/>
      <w:lvlText w:val="%1、"/>
      <w:lvlJc w:val="left"/>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26c975ec-3a78-450b-a75b-68dd51565de6&amp;fileid=273540&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87A8B"/>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544B3"/>
    <w:rsid w:val="01A8609A"/>
    <w:rsid w:val="01AD0ED3"/>
    <w:rsid w:val="02195A53"/>
    <w:rsid w:val="023B0129"/>
    <w:rsid w:val="02493090"/>
    <w:rsid w:val="02593B30"/>
    <w:rsid w:val="026659F0"/>
    <w:rsid w:val="029D41FE"/>
    <w:rsid w:val="02A800C5"/>
    <w:rsid w:val="02C6499B"/>
    <w:rsid w:val="02C91CAA"/>
    <w:rsid w:val="02DE5ECF"/>
    <w:rsid w:val="03062D2F"/>
    <w:rsid w:val="033E10C9"/>
    <w:rsid w:val="037D0CD2"/>
    <w:rsid w:val="0387213A"/>
    <w:rsid w:val="038B3366"/>
    <w:rsid w:val="03981B5E"/>
    <w:rsid w:val="03996EAD"/>
    <w:rsid w:val="03D7095C"/>
    <w:rsid w:val="03F60BFA"/>
    <w:rsid w:val="04023CC8"/>
    <w:rsid w:val="042674F4"/>
    <w:rsid w:val="042D3C13"/>
    <w:rsid w:val="043B2184"/>
    <w:rsid w:val="04722D72"/>
    <w:rsid w:val="047A0BBC"/>
    <w:rsid w:val="04BE097E"/>
    <w:rsid w:val="04C12ED8"/>
    <w:rsid w:val="04DC5749"/>
    <w:rsid w:val="04E26FED"/>
    <w:rsid w:val="04E41F94"/>
    <w:rsid w:val="04EF2B66"/>
    <w:rsid w:val="04FD6633"/>
    <w:rsid w:val="050E411D"/>
    <w:rsid w:val="052E2B3B"/>
    <w:rsid w:val="054416D2"/>
    <w:rsid w:val="05482261"/>
    <w:rsid w:val="054B711F"/>
    <w:rsid w:val="05507F0F"/>
    <w:rsid w:val="057A1FA9"/>
    <w:rsid w:val="05871A0A"/>
    <w:rsid w:val="05A42E7B"/>
    <w:rsid w:val="05A70EA9"/>
    <w:rsid w:val="05D55D36"/>
    <w:rsid w:val="060C2525"/>
    <w:rsid w:val="062756FD"/>
    <w:rsid w:val="065F7A31"/>
    <w:rsid w:val="067C53E7"/>
    <w:rsid w:val="06820F5E"/>
    <w:rsid w:val="069114AA"/>
    <w:rsid w:val="06951992"/>
    <w:rsid w:val="06AE2ABA"/>
    <w:rsid w:val="06C30141"/>
    <w:rsid w:val="06C75DF5"/>
    <w:rsid w:val="06C76C7A"/>
    <w:rsid w:val="06DD02BB"/>
    <w:rsid w:val="06E16886"/>
    <w:rsid w:val="06E43F57"/>
    <w:rsid w:val="06E71F51"/>
    <w:rsid w:val="06F965AD"/>
    <w:rsid w:val="07050666"/>
    <w:rsid w:val="071C4DB7"/>
    <w:rsid w:val="07362674"/>
    <w:rsid w:val="073B54B2"/>
    <w:rsid w:val="07537EF9"/>
    <w:rsid w:val="07707311"/>
    <w:rsid w:val="07815EE7"/>
    <w:rsid w:val="07AF3D02"/>
    <w:rsid w:val="07C66F31"/>
    <w:rsid w:val="07CA0317"/>
    <w:rsid w:val="08170505"/>
    <w:rsid w:val="081748AE"/>
    <w:rsid w:val="08297BEC"/>
    <w:rsid w:val="08635851"/>
    <w:rsid w:val="08C2359B"/>
    <w:rsid w:val="09041814"/>
    <w:rsid w:val="092D7BDC"/>
    <w:rsid w:val="09322AD0"/>
    <w:rsid w:val="09332D2B"/>
    <w:rsid w:val="093E2D64"/>
    <w:rsid w:val="09460264"/>
    <w:rsid w:val="09472203"/>
    <w:rsid w:val="094E590C"/>
    <w:rsid w:val="0950680C"/>
    <w:rsid w:val="098B1DA7"/>
    <w:rsid w:val="09907951"/>
    <w:rsid w:val="099F43E4"/>
    <w:rsid w:val="09A31A61"/>
    <w:rsid w:val="09B34125"/>
    <w:rsid w:val="09BA7A85"/>
    <w:rsid w:val="09BF594F"/>
    <w:rsid w:val="09DE1094"/>
    <w:rsid w:val="09E2475B"/>
    <w:rsid w:val="0A1E12A6"/>
    <w:rsid w:val="0A2B06FF"/>
    <w:rsid w:val="0A3F34B7"/>
    <w:rsid w:val="0A4B11BE"/>
    <w:rsid w:val="0A595E3B"/>
    <w:rsid w:val="0A7B4003"/>
    <w:rsid w:val="0A8E5B8D"/>
    <w:rsid w:val="0AA240FA"/>
    <w:rsid w:val="0AAC0CBB"/>
    <w:rsid w:val="0ABA5513"/>
    <w:rsid w:val="0AD84BD3"/>
    <w:rsid w:val="0AE941D3"/>
    <w:rsid w:val="0B1061C6"/>
    <w:rsid w:val="0B16053C"/>
    <w:rsid w:val="0B2529AE"/>
    <w:rsid w:val="0B2B08D5"/>
    <w:rsid w:val="0B5A4560"/>
    <w:rsid w:val="0BA35012"/>
    <w:rsid w:val="0BB47FE1"/>
    <w:rsid w:val="0BB825ED"/>
    <w:rsid w:val="0BC0647C"/>
    <w:rsid w:val="0BD7624B"/>
    <w:rsid w:val="0BF26817"/>
    <w:rsid w:val="0BF311B0"/>
    <w:rsid w:val="0C22464A"/>
    <w:rsid w:val="0C252478"/>
    <w:rsid w:val="0C2B72AE"/>
    <w:rsid w:val="0C41127C"/>
    <w:rsid w:val="0C5C6F5A"/>
    <w:rsid w:val="0C605BA6"/>
    <w:rsid w:val="0C623EAC"/>
    <w:rsid w:val="0C946488"/>
    <w:rsid w:val="0CAD24AF"/>
    <w:rsid w:val="0CB27F34"/>
    <w:rsid w:val="0CBF11A0"/>
    <w:rsid w:val="0D0D3F93"/>
    <w:rsid w:val="0D12389F"/>
    <w:rsid w:val="0D2820B7"/>
    <w:rsid w:val="0D4D2C04"/>
    <w:rsid w:val="0D662EE5"/>
    <w:rsid w:val="0D860EC5"/>
    <w:rsid w:val="0D884979"/>
    <w:rsid w:val="0D9339BE"/>
    <w:rsid w:val="0D9E6A67"/>
    <w:rsid w:val="0D9F0DC4"/>
    <w:rsid w:val="0DA10224"/>
    <w:rsid w:val="0DB066B9"/>
    <w:rsid w:val="0DBC0BBA"/>
    <w:rsid w:val="0DC02AA1"/>
    <w:rsid w:val="0DDE695A"/>
    <w:rsid w:val="0DF73A5B"/>
    <w:rsid w:val="0E0708E6"/>
    <w:rsid w:val="0E164CA8"/>
    <w:rsid w:val="0E231949"/>
    <w:rsid w:val="0E2D072E"/>
    <w:rsid w:val="0E3B295D"/>
    <w:rsid w:val="0E47249B"/>
    <w:rsid w:val="0E527220"/>
    <w:rsid w:val="0E551882"/>
    <w:rsid w:val="0E7306EC"/>
    <w:rsid w:val="0E7B0A75"/>
    <w:rsid w:val="0E99465F"/>
    <w:rsid w:val="0EB254B2"/>
    <w:rsid w:val="0ECE1FF2"/>
    <w:rsid w:val="0EFB3F5D"/>
    <w:rsid w:val="0F041CC7"/>
    <w:rsid w:val="0F042317"/>
    <w:rsid w:val="0F1113DA"/>
    <w:rsid w:val="0F1209F8"/>
    <w:rsid w:val="0F3416B8"/>
    <w:rsid w:val="0F4C19DA"/>
    <w:rsid w:val="0F4C7D05"/>
    <w:rsid w:val="0F4F31AF"/>
    <w:rsid w:val="0F5F17BD"/>
    <w:rsid w:val="0F8676D2"/>
    <w:rsid w:val="0F90531D"/>
    <w:rsid w:val="0FAD64B5"/>
    <w:rsid w:val="0FB21FD4"/>
    <w:rsid w:val="0FD52407"/>
    <w:rsid w:val="0FF705D0"/>
    <w:rsid w:val="0FFF5930"/>
    <w:rsid w:val="10A265EF"/>
    <w:rsid w:val="10DF2B28"/>
    <w:rsid w:val="10EC4A0F"/>
    <w:rsid w:val="11156FC6"/>
    <w:rsid w:val="11366ED6"/>
    <w:rsid w:val="11485B0D"/>
    <w:rsid w:val="114C7209"/>
    <w:rsid w:val="1154158B"/>
    <w:rsid w:val="117076B2"/>
    <w:rsid w:val="119E6579"/>
    <w:rsid w:val="11D435DD"/>
    <w:rsid w:val="11DA3C43"/>
    <w:rsid w:val="11E044D7"/>
    <w:rsid w:val="1220326C"/>
    <w:rsid w:val="122F7A32"/>
    <w:rsid w:val="123A67B6"/>
    <w:rsid w:val="125670E6"/>
    <w:rsid w:val="125E1A9C"/>
    <w:rsid w:val="1276289F"/>
    <w:rsid w:val="1288522D"/>
    <w:rsid w:val="129D6A95"/>
    <w:rsid w:val="12AF4046"/>
    <w:rsid w:val="12CE506D"/>
    <w:rsid w:val="12F65490"/>
    <w:rsid w:val="12F73D2A"/>
    <w:rsid w:val="12F9698E"/>
    <w:rsid w:val="13112273"/>
    <w:rsid w:val="131C7C5D"/>
    <w:rsid w:val="132A0889"/>
    <w:rsid w:val="132F62D2"/>
    <w:rsid w:val="13511DF6"/>
    <w:rsid w:val="1376180B"/>
    <w:rsid w:val="138B4634"/>
    <w:rsid w:val="138E198A"/>
    <w:rsid w:val="138F1214"/>
    <w:rsid w:val="13B11400"/>
    <w:rsid w:val="13BF412F"/>
    <w:rsid w:val="13D101C7"/>
    <w:rsid w:val="1400440E"/>
    <w:rsid w:val="14065285"/>
    <w:rsid w:val="142669A3"/>
    <w:rsid w:val="143805F9"/>
    <w:rsid w:val="144729D8"/>
    <w:rsid w:val="148E78CB"/>
    <w:rsid w:val="149F4D92"/>
    <w:rsid w:val="14A13E6D"/>
    <w:rsid w:val="14AB614D"/>
    <w:rsid w:val="14B96C2B"/>
    <w:rsid w:val="15436E45"/>
    <w:rsid w:val="15507C7E"/>
    <w:rsid w:val="155701A1"/>
    <w:rsid w:val="15664AEF"/>
    <w:rsid w:val="158E23E1"/>
    <w:rsid w:val="159D7EA6"/>
    <w:rsid w:val="159F1BF9"/>
    <w:rsid w:val="15A703A2"/>
    <w:rsid w:val="15B71B1D"/>
    <w:rsid w:val="15B71B24"/>
    <w:rsid w:val="15E63361"/>
    <w:rsid w:val="15F65D9C"/>
    <w:rsid w:val="160B0227"/>
    <w:rsid w:val="16195ADC"/>
    <w:rsid w:val="16864176"/>
    <w:rsid w:val="16E04880"/>
    <w:rsid w:val="16E33BB8"/>
    <w:rsid w:val="16F45869"/>
    <w:rsid w:val="16F86032"/>
    <w:rsid w:val="17081A7A"/>
    <w:rsid w:val="17292C0C"/>
    <w:rsid w:val="176F50FE"/>
    <w:rsid w:val="177469AA"/>
    <w:rsid w:val="17874339"/>
    <w:rsid w:val="178C784F"/>
    <w:rsid w:val="17D10049"/>
    <w:rsid w:val="17DD0B49"/>
    <w:rsid w:val="17F1563C"/>
    <w:rsid w:val="17F23C73"/>
    <w:rsid w:val="180F3B80"/>
    <w:rsid w:val="181B1411"/>
    <w:rsid w:val="181C1400"/>
    <w:rsid w:val="18223BBF"/>
    <w:rsid w:val="18406E44"/>
    <w:rsid w:val="185C1918"/>
    <w:rsid w:val="186039EF"/>
    <w:rsid w:val="1880349D"/>
    <w:rsid w:val="188E3A9B"/>
    <w:rsid w:val="18D435BC"/>
    <w:rsid w:val="18E261BC"/>
    <w:rsid w:val="19193365"/>
    <w:rsid w:val="19261639"/>
    <w:rsid w:val="1935660C"/>
    <w:rsid w:val="195D5C0E"/>
    <w:rsid w:val="198C0993"/>
    <w:rsid w:val="19B64CC2"/>
    <w:rsid w:val="19BA69A5"/>
    <w:rsid w:val="19DF6D3F"/>
    <w:rsid w:val="19E24459"/>
    <w:rsid w:val="19F618F8"/>
    <w:rsid w:val="19FF4D73"/>
    <w:rsid w:val="1A305FF4"/>
    <w:rsid w:val="1A3D7EBE"/>
    <w:rsid w:val="1A4353A0"/>
    <w:rsid w:val="1A557489"/>
    <w:rsid w:val="1AF45443"/>
    <w:rsid w:val="1B075A0C"/>
    <w:rsid w:val="1B67066F"/>
    <w:rsid w:val="1B7229E4"/>
    <w:rsid w:val="1B7A5EC7"/>
    <w:rsid w:val="1B7F03EA"/>
    <w:rsid w:val="1B8E5EC0"/>
    <w:rsid w:val="1BBE4697"/>
    <w:rsid w:val="1BC25F36"/>
    <w:rsid w:val="1C676DC2"/>
    <w:rsid w:val="1C82198E"/>
    <w:rsid w:val="1CB33990"/>
    <w:rsid w:val="1CF6260F"/>
    <w:rsid w:val="1CF83AEA"/>
    <w:rsid w:val="1CF911FC"/>
    <w:rsid w:val="1D306ECF"/>
    <w:rsid w:val="1D6914D5"/>
    <w:rsid w:val="1D7C7A22"/>
    <w:rsid w:val="1D7E09CF"/>
    <w:rsid w:val="1D813BCE"/>
    <w:rsid w:val="1D9F1A69"/>
    <w:rsid w:val="1DC81497"/>
    <w:rsid w:val="1DD65021"/>
    <w:rsid w:val="1DE41480"/>
    <w:rsid w:val="1E2139B7"/>
    <w:rsid w:val="1E7A14A8"/>
    <w:rsid w:val="1E7F32B0"/>
    <w:rsid w:val="1EBA058B"/>
    <w:rsid w:val="1EBB622E"/>
    <w:rsid w:val="1EEA13A6"/>
    <w:rsid w:val="1EF77A66"/>
    <w:rsid w:val="1EFD54D7"/>
    <w:rsid w:val="1EFE64E9"/>
    <w:rsid w:val="1F6207D0"/>
    <w:rsid w:val="1FE1627D"/>
    <w:rsid w:val="1FEA603B"/>
    <w:rsid w:val="20133D98"/>
    <w:rsid w:val="20153E96"/>
    <w:rsid w:val="20226856"/>
    <w:rsid w:val="20293E2F"/>
    <w:rsid w:val="20686E43"/>
    <w:rsid w:val="206E3E8E"/>
    <w:rsid w:val="207224C8"/>
    <w:rsid w:val="2076639A"/>
    <w:rsid w:val="20876CA0"/>
    <w:rsid w:val="2093114F"/>
    <w:rsid w:val="209B4FA7"/>
    <w:rsid w:val="209B57AA"/>
    <w:rsid w:val="20A121FD"/>
    <w:rsid w:val="20AE273E"/>
    <w:rsid w:val="20BF7684"/>
    <w:rsid w:val="20C20004"/>
    <w:rsid w:val="20D83D6E"/>
    <w:rsid w:val="20DE5531"/>
    <w:rsid w:val="20E1180E"/>
    <w:rsid w:val="20E45D30"/>
    <w:rsid w:val="20EA6084"/>
    <w:rsid w:val="20F01139"/>
    <w:rsid w:val="20F1461D"/>
    <w:rsid w:val="20F1556E"/>
    <w:rsid w:val="212B522B"/>
    <w:rsid w:val="21736537"/>
    <w:rsid w:val="219519F6"/>
    <w:rsid w:val="21977807"/>
    <w:rsid w:val="219A6D4B"/>
    <w:rsid w:val="21B31E7D"/>
    <w:rsid w:val="21C2735E"/>
    <w:rsid w:val="21C64455"/>
    <w:rsid w:val="21E57FA3"/>
    <w:rsid w:val="21FB5A74"/>
    <w:rsid w:val="222E74EE"/>
    <w:rsid w:val="226827C0"/>
    <w:rsid w:val="227C6EFF"/>
    <w:rsid w:val="22942795"/>
    <w:rsid w:val="22A10D06"/>
    <w:rsid w:val="22B665A5"/>
    <w:rsid w:val="22C925E0"/>
    <w:rsid w:val="22D230D8"/>
    <w:rsid w:val="22E46F4A"/>
    <w:rsid w:val="22F20159"/>
    <w:rsid w:val="23005537"/>
    <w:rsid w:val="233C2C53"/>
    <w:rsid w:val="23486890"/>
    <w:rsid w:val="236F1F61"/>
    <w:rsid w:val="23807D2D"/>
    <w:rsid w:val="23AB4CDF"/>
    <w:rsid w:val="23C37A75"/>
    <w:rsid w:val="23E80673"/>
    <w:rsid w:val="24220F3E"/>
    <w:rsid w:val="2423604B"/>
    <w:rsid w:val="243A3F7E"/>
    <w:rsid w:val="24436391"/>
    <w:rsid w:val="2450121E"/>
    <w:rsid w:val="2452597D"/>
    <w:rsid w:val="24637B8A"/>
    <w:rsid w:val="2487622C"/>
    <w:rsid w:val="24973094"/>
    <w:rsid w:val="24AD6D9A"/>
    <w:rsid w:val="24D43154"/>
    <w:rsid w:val="251418FC"/>
    <w:rsid w:val="255045E1"/>
    <w:rsid w:val="25A845B3"/>
    <w:rsid w:val="25EB71B7"/>
    <w:rsid w:val="25FF1B34"/>
    <w:rsid w:val="26154215"/>
    <w:rsid w:val="261A0BE6"/>
    <w:rsid w:val="263C7691"/>
    <w:rsid w:val="265E2776"/>
    <w:rsid w:val="26666FDC"/>
    <w:rsid w:val="26AB763C"/>
    <w:rsid w:val="26B267E7"/>
    <w:rsid w:val="26F131DC"/>
    <w:rsid w:val="26F65310"/>
    <w:rsid w:val="27052D05"/>
    <w:rsid w:val="27082804"/>
    <w:rsid w:val="270832AE"/>
    <w:rsid w:val="27357F9F"/>
    <w:rsid w:val="27464A03"/>
    <w:rsid w:val="27A4553F"/>
    <w:rsid w:val="27D35135"/>
    <w:rsid w:val="27EF1935"/>
    <w:rsid w:val="27F10F49"/>
    <w:rsid w:val="280A1B75"/>
    <w:rsid w:val="280F46F5"/>
    <w:rsid w:val="283962F8"/>
    <w:rsid w:val="285F2F19"/>
    <w:rsid w:val="287A36F4"/>
    <w:rsid w:val="288458E7"/>
    <w:rsid w:val="28A33A20"/>
    <w:rsid w:val="28A47F17"/>
    <w:rsid w:val="28B46067"/>
    <w:rsid w:val="28C80903"/>
    <w:rsid w:val="290212C1"/>
    <w:rsid w:val="29062E21"/>
    <w:rsid w:val="290D5ED8"/>
    <w:rsid w:val="29656DCE"/>
    <w:rsid w:val="296E75F6"/>
    <w:rsid w:val="298B4B23"/>
    <w:rsid w:val="29932CBF"/>
    <w:rsid w:val="29AE0E38"/>
    <w:rsid w:val="29B71FDB"/>
    <w:rsid w:val="29CF18DD"/>
    <w:rsid w:val="29D65D23"/>
    <w:rsid w:val="29D875FE"/>
    <w:rsid w:val="29E259F5"/>
    <w:rsid w:val="29F232B2"/>
    <w:rsid w:val="29FA4AED"/>
    <w:rsid w:val="29FC36DF"/>
    <w:rsid w:val="2A0B100E"/>
    <w:rsid w:val="2A0F3808"/>
    <w:rsid w:val="2A194E5D"/>
    <w:rsid w:val="2A21554B"/>
    <w:rsid w:val="2A481CFC"/>
    <w:rsid w:val="2A594BC2"/>
    <w:rsid w:val="2A9F7561"/>
    <w:rsid w:val="2AA90FA0"/>
    <w:rsid w:val="2AB31CE2"/>
    <w:rsid w:val="2AB55266"/>
    <w:rsid w:val="2ACE4132"/>
    <w:rsid w:val="2B185203"/>
    <w:rsid w:val="2B487382"/>
    <w:rsid w:val="2B552F60"/>
    <w:rsid w:val="2B7462A4"/>
    <w:rsid w:val="2B7841A6"/>
    <w:rsid w:val="2BB367B9"/>
    <w:rsid w:val="2BC45071"/>
    <w:rsid w:val="2BFA5DC9"/>
    <w:rsid w:val="2C13380B"/>
    <w:rsid w:val="2C184D47"/>
    <w:rsid w:val="2C796A89"/>
    <w:rsid w:val="2CBD3A96"/>
    <w:rsid w:val="2CC74339"/>
    <w:rsid w:val="2CCC23F7"/>
    <w:rsid w:val="2CCE1414"/>
    <w:rsid w:val="2CF93ABF"/>
    <w:rsid w:val="2D1E27A3"/>
    <w:rsid w:val="2D394FF5"/>
    <w:rsid w:val="2D623014"/>
    <w:rsid w:val="2D766528"/>
    <w:rsid w:val="2D7707D2"/>
    <w:rsid w:val="2DBB39E2"/>
    <w:rsid w:val="2DF53F49"/>
    <w:rsid w:val="2E173684"/>
    <w:rsid w:val="2E1751F9"/>
    <w:rsid w:val="2E6A704D"/>
    <w:rsid w:val="2E8A6255"/>
    <w:rsid w:val="2EC8729E"/>
    <w:rsid w:val="2F053687"/>
    <w:rsid w:val="2F0B1048"/>
    <w:rsid w:val="2F141AAA"/>
    <w:rsid w:val="2F9A6191"/>
    <w:rsid w:val="2FCA4353"/>
    <w:rsid w:val="2FE55D75"/>
    <w:rsid w:val="2FF23F99"/>
    <w:rsid w:val="300A288E"/>
    <w:rsid w:val="30236367"/>
    <w:rsid w:val="30237CBE"/>
    <w:rsid w:val="30331BC6"/>
    <w:rsid w:val="303E7E03"/>
    <w:rsid w:val="304A182B"/>
    <w:rsid w:val="306939C3"/>
    <w:rsid w:val="30700C52"/>
    <w:rsid w:val="30757C00"/>
    <w:rsid w:val="307D5D65"/>
    <w:rsid w:val="308275EA"/>
    <w:rsid w:val="30B34CE3"/>
    <w:rsid w:val="30CB1C83"/>
    <w:rsid w:val="30ED2830"/>
    <w:rsid w:val="31116EA7"/>
    <w:rsid w:val="312F0338"/>
    <w:rsid w:val="315F792B"/>
    <w:rsid w:val="316B2857"/>
    <w:rsid w:val="31832D29"/>
    <w:rsid w:val="319D5339"/>
    <w:rsid w:val="319F2F47"/>
    <w:rsid w:val="31A974F8"/>
    <w:rsid w:val="31AB7E8D"/>
    <w:rsid w:val="31BC4D7D"/>
    <w:rsid w:val="31D20CDE"/>
    <w:rsid w:val="31DA35B5"/>
    <w:rsid w:val="31F37E23"/>
    <w:rsid w:val="31FE689A"/>
    <w:rsid w:val="32223DC6"/>
    <w:rsid w:val="323B0398"/>
    <w:rsid w:val="325A02A1"/>
    <w:rsid w:val="32827D75"/>
    <w:rsid w:val="329032EF"/>
    <w:rsid w:val="329970EF"/>
    <w:rsid w:val="32B35AAA"/>
    <w:rsid w:val="32DC7485"/>
    <w:rsid w:val="33135210"/>
    <w:rsid w:val="3326373F"/>
    <w:rsid w:val="332C258B"/>
    <w:rsid w:val="333F5C66"/>
    <w:rsid w:val="334459AC"/>
    <w:rsid w:val="33705A64"/>
    <w:rsid w:val="33A055AF"/>
    <w:rsid w:val="33A51E80"/>
    <w:rsid w:val="33C86F17"/>
    <w:rsid w:val="33D7176F"/>
    <w:rsid w:val="33EE589E"/>
    <w:rsid w:val="33F03D7B"/>
    <w:rsid w:val="340329A9"/>
    <w:rsid w:val="34160775"/>
    <w:rsid w:val="342645AD"/>
    <w:rsid w:val="342B057B"/>
    <w:rsid w:val="342E1467"/>
    <w:rsid w:val="34335C8F"/>
    <w:rsid w:val="343926B5"/>
    <w:rsid w:val="34617CD8"/>
    <w:rsid w:val="346925DA"/>
    <w:rsid w:val="34753860"/>
    <w:rsid w:val="34A61339"/>
    <w:rsid w:val="34CC3006"/>
    <w:rsid w:val="34F3793E"/>
    <w:rsid w:val="35075959"/>
    <w:rsid w:val="353C59B9"/>
    <w:rsid w:val="35574E9C"/>
    <w:rsid w:val="35712E34"/>
    <w:rsid w:val="35C10F67"/>
    <w:rsid w:val="35ED793B"/>
    <w:rsid w:val="35F5352E"/>
    <w:rsid w:val="35F84740"/>
    <w:rsid w:val="36383125"/>
    <w:rsid w:val="366C082D"/>
    <w:rsid w:val="368816D2"/>
    <w:rsid w:val="368C388A"/>
    <w:rsid w:val="36A75FFC"/>
    <w:rsid w:val="36AA00A5"/>
    <w:rsid w:val="36C90DD1"/>
    <w:rsid w:val="36CE1162"/>
    <w:rsid w:val="36F56D67"/>
    <w:rsid w:val="37335AE2"/>
    <w:rsid w:val="374634AB"/>
    <w:rsid w:val="374B6987"/>
    <w:rsid w:val="37704489"/>
    <w:rsid w:val="37710026"/>
    <w:rsid w:val="378818B3"/>
    <w:rsid w:val="37925427"/>
    <w:rsid w:val="37A34A15"/>
    <w:rsid w:val="37A55DCC"/>
    <w:rsid w:val="37CA04FF"/>
    <w:rsid w:val="37D30771"/>
    <w:rsid w:val="37EC0BB8"/>
    <w:rsid w:val="38003C16"/>
    <w:rsid w:val="383B171B"/>
    <w:rsid w:val="384B20ED"/>
    <w:rsid w:val="38995839"/>
    <w:rsid w:val="38C67D33"/>
    <w:rsid w:val="39265074"/>
    <w:rsid w:val="392B274A"/>
    <w:rsid w:val="394C4C39"/>
    <w:rsid w:val="394C68A5"/>
    <w:rsid w:val="395E479A"/>
    <w:rsid w:val="39675804"/>
    <w:rsid w:val="39A36C2D"/>
    <w:rsid w:val="39AA29B9"/>
    <w:rsid w:val="39E71AEC"/>
    <w:rsid w:val="39F60058"/>
    <w:rsid w:val="3A0948D8"/>
    <w:rsid w:val="3A104089"/>
    <w:rsid w:val="3A2312C3"/>
    <w:rsid w:val="3A8217DE"/>
    <w:rsid w:val="3A822B01"/>
    <w:rsid w:val="3AB463B4"/>
    <w:rsid w:val="3AB5085A"/>
    <w:rsid w:val="3AB605BC"/>
    <w:rsid w:val="3AB8426E"/>
    <w:rsid w:val="3AC54CA3"/>
    <w:rsid w:val="3ACF765C"/>
    <w:rsid w:val="3AD278CD"/>
    <w:rsid w:val="3AFA4BE5"/>
    <w:rsid w:val="3B131EB2"/>
    <w:rsid w:val="3B29460D"/>
    <w:rsid w:val="3B2A44B8"/>
    <w:rsid w:val="3B2B6476"/>
    <w:rsid w:val="3BBC038E"/>
    <w:rsid w:val="3BDC22A4"/>
    <w:rsid w:val="3BE61375"/>
    <w:rsid w:val="3BFE3F02"/>
    <w:rsid w:val="3C2972FD"/>
    <w:rsid w:val="3C5A766D"/>
    <w:rsid w:val="3C5B4444"/>
    <w:rsid w:val="3C852047"/>
    <w:rsid w:val="3CA13116"/>
    <w:rsid w:val="3CA925AE"/>
    <w:rsid w:val="3CB26A2F"/>
    <w:rsid w:val="3CF877AB"/>
    <w:rsid w:val="3D306CB2"/>
    <w:rsid w:val="3D32729D"/>
    <w:rsid w:val="3D485E54"/>
    <w:rsid w:val="3D667959"/>
    <w:rsid w:val="3D6B34CF"/>
    <w:rsid w:val="3D8230F2"/>
    <w:rsid w:val="3D886E2C"/>
    <w:rsid w:val="3D9077EA"/>
    <w:rsid w:val="3DAA5519"/>
    <w:rsid w:val="3DC413E8"/>
    <w:rsid w:val="3DCA34BB"/>
    <w:rsid w:val="3DD83D60"/>
    <w:rsid w:val="3DD86A9B"/>
    <w:rsid w:val="3E044CAE"/>
    <w:rsid w:val="3E12201C"/>
    <w:rsid w:val="3E427218"/>
    <w:rsid w:val="3E834C59"/>
    <w:rsid w:val="3EA72ABE"/>
    <w:rsid w:val="3EAD4174"/>
    <w:rsid w:val="3EAD7F9C"/>
    <w:rsid w:val="3EB32892"/>
    <w:rsid w:val="3EBC3336"/>
    <w:rsid w:val="3EBC6CF0"/>
    <w:rsid w:val="3EDE79C6"/>
    <w:rsid w:val="3EF65530"/>
    <w:rsid w:val="3EF9D3F1"/>
    <w:rsid w:val="3F064AE9"/>
    <w:rsid w:val="3F3B0C43"/>
    <w:rsid w:val="3F431BA8"/>
    <w:rsid w:val="3F4C62B0"/>
    <w:rsid w:val="3F4E170B"/>
    <w:rsid w:val="3F520ACF"/>
    <w:rsid w:val="3F60143E"/>
    <w:rsid w:val="3F7279F0"/>
    <w:rsid w:val="3F9717D1"/>
    <w:rsid w:val="3FB2485B"/>
    <w:rsid w:val="40251A3B"/>
    <w:rsid w:val="402A34B8"/>
    <w:rsid w:val="40360CD1"/>
    <w:rsid w:val="40361D66"/>
    <w:rsid w:val="405A7C3B"/>
    <w:rsid w:val="406060C3"/>
    <w:rsid w:val="40613E30"/>
    <w:rsid w:val="40736573"/>
    <w:rsid w:val="407D7357"/>
    <w:rsid w:val="40940BD2"/>
    <w:rsid w:val="409B4A07"/>
    <w:rsid w:val="40BF6E39"/>
    <w:rsid w:val="40C25B7F"/>
    <w:rsid w:val="40CF23D7"/>
    <w:rsid w:val="40EB11DB"/>
    <w:rsid w:val="40F554EF"/>
    <w:rsid w:val="40F66678"/>
    <w:rsid w:val="41025A6F"/>
    <w:rsid w:val="410B461F"/>
    <w:rsid w:val="410E1C56"/>
    <w:rsid w:val="4120577A"/>
    <w:rsid w:val="416C142E"/>
    <w:rsid w:val="41976EDF"/>
    <w:rsid w:val="41FB3C65"/>
    <w:rsid w:val="41FD121E"/>
    <w:rsid w:val="420F4A55"/>
    <w:rsid w:val="421A7627"/>
    <w:rsid w:val="4233112B"/>
    <w:rsid w:val="42401E98"/>
    <w:rsid w:val="42402E61"/>
    <w:rsid w:val="4262727B"/>
    <w:rsid w:val="42872311"/>
    <w:rsid w:val="428B5762"/>
    <w:rsid w:val="42D47C2B"/>
    <w:rsid w:val="42D8334B"/>
    <w:rsid w:val="42DA32B5"/>
    <w:rsid w:val="4328535A"/>
    <w:rsid w:val="433543AC"/>
    <w:rsid w:val="43420FE8"/>
    <w:rsid w:val="434513F0"/>
    <w:rsid w:val="43702851"/>
    <w:rsid w:val="43CA4F48"/>
    <w:rsid w:val="441427F7"/>
    <w:rsid w:val="4424604A"/>
    <w:rsid w:val="442967DE"/>
    <w:rsid w:val="443F6CBF"/>
    <w:rsid w:val="445014AB"/>
    <w:rsid w:val="447A7DBC"/>
    <w:rsid w:val="44A446C0"/>
    <w:rsid w:val="44C578EC"/>
    <w:rsid w:val="44CA4E6C"/>
    <w:rsid w:val="44CE660D"/>
    <w:rsid w:val="4548631D"/>
    <w:rsid w:val="454F0B76"/>
    <w:rsid w:val="45795008"/>
    <w:rsid w:val="4579514B"/>
    <w:rsid w:val="457E2BBE"/>
    <w:rsid w:val="457F72E8"/>
    <w:rsid w:val="459534C4"/>
    <w:rsid w:val="45A64BDB"/>
    <w:rsid w:val="45DE083B"/>
    <w:rsid w:val="45E076C0"/>
    <w:rsid w:val="45E8729D"/>
    <w:rsid w:val="45F36067"/>
    <w:rsid w:val="460C0745"/>
    <w:rsid w:val="461D5993"/>
    <w:rsid w:val="463122D8"/>
    <w:rsid w:val="4632053D"/>
    <w:rsid w:val="463C3445"/>
    <w:rsid w:val="46577675"/>
    <w:rsid w:val="4662415A"/>
    <w:rsid w:val="4662498C"/>
    <w:rsid w:val="4684193D"/>
    <w:rsid w:val="46A022D9"/>
    <w:rsid w:val="46A9554B"/>
    <w:rsid w:val="46B21457"/>
    <w:rsid w:val="46BE1A6C"/>
    <w:rsid w:val="46BE6647"/>
    <w:rsid w:val="46EE3897"/>
    <w:rsid w:val="470703F1"/>
    <w:rsid w:val="471B3499"/>
    <w:rsid w:val="472F1E22"/>
    <w:rsid w:val="4730142A"/>
    <w:rsid w:val="474608B5"/>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06D3F"/>
    <w:rsid w:val="49F95BD6"/>
    <w:rsid w:val="4A052C6C"/>
    <w:rsid w:val="4A14705F"/>
    <w:rsid w:val="4A1A7368"/>
    <w:rsid w:val="4A2275DD"/>
    <w:rsid w:val="4AA73240"/>
    <w:rsid w:val="4AA77F21"/>
    <w:rsid w:val="4AB72272"/>
    <w:rsid w:val="4AD703A4"/>
    <w:rsid w:val="4B0610EB"/>
    <w:rsid w:val="4B305E1B"/>
    <w:rsid w:val="4B507CFD"/>
    <w:rsid w:val="4B5279C2"/>
    <w:rsid w:val="4B962C4A"/>
    <w:rsid w:val="4B9B43F1"/>
    <w:rsid w:val="4BA36437"/>
    <w:rsid w:val="4BB92D8E"/>
    <w:rsid w:val="4BD07B58"/>
    <w:rsid w:val="4BE87BA5"/>
    <w:rsid w:val="4C3176AB"/>
    <w:rsid w:val="4C415DC1"/>
    <w:rsid w:val="4C4C6440"/>
    <w:rsid w:val="4C6E278E"/>
    <w:rsid w:val="4CFF538B"/>
    <w:rsid w:val="4D387556"/>
    <w:rsid w:val="4D4D7800"/>
    <w:rsid w:val="4D7251FF"/>
    <w:rsid w:val="4DDF3E76"/>
    <w:rsid w:val="4DE50C0B"/>
    <w:rsid w:val="4E11105D"/>
    <w:rsid w:val="4E16225A"/>
    <w:rsid w:val="4E253AB8"/>
    <w:rsid w:val="4E472C92"/>
    <w:rsid w:val="4E824D97"/>
    <w:rsid w:val="4E9D5C2D"/>
    <w:rsid w:val="4EBA57C1"/>
    <w:rsid w:val="4EC372F3"/>
    <w:rsid w:val="4EEA14D6"/>
    <w:rsid w:val="4EFB04A9"/>
    <w:rsid w:val="4F047E0A"/>
    <w:rsid w:val="4F17413E"/>
    <w:rsid w:val="4F1A2CA5"/>
    <w:rsid w:val="4F477F24"/>
    <w:rsid w:val="4F5E5BD6"/>
    <w:rsid w:val="4F7A3E56"/>
    <w:rsid w:val="4FA91AAC"/>
    <w:rsid w:val="4FB1539E"/>
    <w:rsid w:val="4FBD0FF5"/>
    <w:rsid w:val="4FC854D7"/>
    <w:rsid w:val="4FCB6460"/>
    <w:rsid w:val="50142DE1"/>
    <w:rsid w:val="5015687B"/>
    <w:rsid w:val="501926CA"/>
    <w:rsid w:val="503109FF"/>
    <w:rsid w:val="505E3D68"/>
    <w:rsid w:val="506807DD"/>
    <w:rsid w:val="508F700E"/>
    <w:rsid w:val="509735C1"/>
    <w:rsid w:val="50D13748"/>
    <w:rsid w:val="50E21C39"/>
    <w:rsid w:val="51502259"/>
    <w:rsid w:val="516A440A"/>
    <w:rsid w:val="51BA5A6F"/>
    <w:rsid w:val="51C25640"/>
    <w:rsid w:val="51C42E16"/>
    <w:rsid w:val="51E152C2"/>
    <w:rsid w:val="525351F4"/>
    <w:rsid w:val="525A6FBC"/>
    <w:rsid w:val="52675B8D"/>
    <w:rsid w:val="526C0997"/>
    <w:rsid w:val="52855A65"/>
    <w:rsid w:val="528F19C6"/>
    <w:rsid w:val="53311AB3"/>
    <w:rsid w:val="53317F44"/>
    <w:rsid w:val="533D33D1"/>
    <w:rsid w:val="53501576"/>
    <w:rsid w:val="53511F1B"/>
    <w:rsid w:val="53670B33"/>
    <w:rsid w:val="537735FB"/>
    <w:rsid w:val="53775B6A"/>
    <w:rsid w:val="538F5737"/>
    <w:rsid w:val="53AB6899"/>
    <w:rsid w:val="53D43855"/>
    <w:rsid w:val="53D6214F"/>
    <w:rsid w:val="53E564F4"/>
    <w:rsid w:val="53EE1101"/>
    <w:rsid w:val="53FC4E8E"/>
    <w:rsid w:val="54047135"/>
    <w:rsid w:val="541717DC"/>
    <w:rsid w:val="54271D5C"/>
    <w:rsid w:val="546535D1"/>
    <w:rsid w:val="54976AA9"/>
    <w:rsid w:val="549A3F89"/>
    <w:rsid w:val="54A35DA8"/>
    <w:rsid w:val="54DE0134"/>
    <w:rsid w:val="553C46BA"/>
    <w:rsid w:val="55494082"/>
    <w:rsid w:val="55494861"/>
    <w:rsid w:val="554F368F"/>
    <w:rsid w:val="557D5B60"/>
    <w:rsid w:val="55834A19"/>
    <w:rsid w:val="55CA0F67"/>
    <w:rsid w:val="55D32599"/>
    <w:rsid w:val="55F27046"/>
    <w:rsid w:val="55F526C6"/>
    <w:rsid w:val="56066DC9"/>
    <w:rsid w:val="564E1228"/>
    <w:rsid w:val="565A678F"/>
    <w:rsid w:val="56A6131D"/>
    <w:rsid w:val="56A82B00"/>
    <w:rsid w:val="56BC5AD0"/>
    <w:rsid w:val="56D00C68"/>
    <w:rsid w:val="57022BD1"/>
    <w:rsid w:val="57212B27"/>
    <w:rsid w:val="572809C2"/>
    <w:rsid w:val="572F0264"/>
    <w:rsid w:val="57480C4D"/>
    <w:rsid w:val="574C27F3"/>
    <w:rsid w:val="576F5440"/>
    <w:rsid w:val="57895A45"/>
    <w:rsid w:val="57A35160"/>
    <w:rsid w:val="57C5313B"/>
    <w:rsid w:val="57CF0AB7"/>
    <w:rsid w:val="57D807D4"/>
    <w:rsid w:val="57EA7969"/>
    <w:rsid w:val="57F652BC"/>
    <w:rsid w:val="57F740F4"/>
    <w:rsid w:val="57FA3D86"/>
    <w:rsid w:val="58263B5F"/>
    <w:rsid w:val="582917A4"/>
    <w:rsid w:val="58750691"/>
    <w:rsid w:val="58AB575D"/>
    <w:rsid w:val="58BC728D"/>
    <w:rsid w:val="58DD0763"/>
    <w:rsid w:val="590D564F"/>
    <w:rsid w:val="59445F91"/>
    <w:rsid w:val="59815208"/>
    <w:rsid w:val="598E13E9"/>
    <w:rsid w:val="598E529C"/>
    <w:rsid w:val="59F001A4"/>
    <w:rsid w:val="5A1E2DE7"/>
    <w:rsid w:val="5A20427A"/>
    <w:rsid w:val="5A395FB6"/>
    <w:rsid w:val="5A436A2D"/>
    <w:rsid w:val="5A445688"/>
    <w:rsid w:val="5A767910"/>
    <w:rsid w:val="5AEB4FF2"/>
    <w:rsid w:val="5B0A066E"/>
    <w:rsid w:val="5B123FA7"/>
    <w:rsid w:val="5B21789B"/>
    <w:rsid w:val="5B553FAC"/>
    <w:rsid w:val="5B5E18A4"/>
    <w:rsid w:val="5B613C0E"/>
    <w:rsid w:val="5B7C743C"/>
    <w:rsid w:val="5B955E96"/>
    <w:rsid w:val="5B9B3675"/>
    <w:rsid w:val="5BA02E96"/>
    <w:rsid w:val="5BA26571"/>
    <w:rsid w:val="5BA74A5A"/>
    <w:rsid w:val="5BCA6564"/>
    <w:rsid w:val="5BD66D67"/>
    <w:rsid w:val="5C107D40"/>
    <w:rsid w:val="5C1E3775"/>
    <w:rsid w:val="5C381264"/>
    <w:rsid w:val="5C672644"/>
    <w:rsid w:val="5C7659A5"/>
    <w:rsid w:val="5C8132C7"/>
    <w:rsid w:val="5CA23A25"/>
    <w:rsid w:val="5CAF692F"/>
    <w:rsid w:val="5CB00EB7"/>
    <w:rsid w:val="5CC26330"/>
    <w:rsid w:val="5CD67F41"/>
    <w:rsid w:val="5CDF760E"/>
    <w:rsid w:val="5CF93D1F"/>
    <w:rsid w:val="5D017C51"/>
    <w:rsid w:val="5D240316"/>
    <w:rsid w:val="5D4165A3"/>
    <w:rsid w:val="5D443CF5"/>
    <w:rsid w:val="5D463591"/>
    <w:rsid w:val="5D4F2A78"/>
    <w:rsid w:val="5D5A5DCC"/>
    <w:rsid w:val="5D792AE4"/>
    <w:rsid w:val="5DBB5D65"/>
    <w:rsid w:val="5DC25C67"/>
    <w:rsid w:val="5DD97571"/>
    <w:rsid w:val="5E2F58D3"/>
    <w:rsid w:val="5E5A06FD"/>
    <w:rsid w:val="5E9342EC"/>
    <w:rsid w:val="5EA27CF7"/>
    <w:rsid w:val="5EAA5DDA"/>
    <w:rsid w:val="5EBC3C1E"/>
    <w:rsid w:val="5EC727A1"/>
    <w:rsid w:val="5F013C4C"/>
    <w:rsid w:val="5F3815EE"/>
    <w:rsid w:val="5F5C32D6"/>
    <w:rsid w:val="5F762886"/>
    <w:rsid w:val="5F853E5C"/>
    <w:rsid w:val="5FA870CA"/>
    <w:rsid w:val="5FA92D9F"/>
    <w:rsid w:val="5FAC2DE4"/>
    <w:rsid w:val="5FB10E83"/>
    <w:rsid w:val="5FB70ABF"/>
    <w:rsid w:val="5FFC1B95"/>
    <w:rsid w:val="600E788A"/>
    <w:rsid w:val="6011673F"/>
    <w:rsid w:val="604130CF"/>
    <w:rsid w:val="60663C94"/>
    <w:rsid w:val="60794FD4"/>
    <w:rsid w:val="60814FEF"/>
    <w:rsid w:val="60824919"/>
    <w:rsid w:val="60AE4E89"/>
    <w:rsid w:val="60C018E5"/>
    <w:rsid w:val="60D23EEC"/>
    <w:rsid w:val="60D32F5A"/>
    <w:rsid w:val="60D413A2"/>
    <w:rsid w:val="60DF6391"/>
    <w:rsid w:val="610E2B4C"/>
    <w:rsid w:val="61561E7C"/>
    <w:rsid w:val="619945D7"/>
    <w:rsid w:val="61C24BFD"/>
    <w:rsid w:val="61DE43D4"/>
    <w:rsid w:val="61E06967"/>
    <w:rsid w:val="61ED083B"/>
    <w:rsid w:val="621F1FA5"/>
    <w:rsid w:val="622E2717"/>
    <w:rsid w:val="624216A0"/>
    <w:rsid w:val="6246652C"/>
    <w:rsid w:val="626343A0"/>
    <w:rsid w:val="626736F9"/>
    <w:rsid w:val="626B4082"/>
    <w:rsid w:val="626B6B00"/>
    <w:rsid w:val="628E1BE9"/>
    <w:rsid w:val="62D06FF9"/>
    <w:rsid w:val="62D765EB"/>
    <w:rsid w:val="62D807FE"/>
    <w:rsid w:val="63576530"/>
    <w:rsid w:val="636B22CC"/>
    <w:rsid w:val="636C198B"/>
    <w:rsid w:val="639E2FE9"/>
    <w:rsid w:val="63B65AC7"/>
    <w:rsid w:val="63D7428B"/>
    <w:rsid w:val="640C4C0D"/>
    <w:rsid w:val="642D54CF"/>
    <w:rsid w:val="643B5584"/>
    <w:rsid w:val="645830D7"/>
    <w:rsid w:val="64675414"/>
    <w:rsid w:val="647258C3"/>
    <w:rsid w:val="64AA2E73"/>
    <w:rsid w:val="64B8434A"/>
    <w:rsid w:val="64C5008F"/>
    <w:rsid w:val="64E8446E"/>
    <w:rsid w:val="652027EF"/>
    <w:rsid w:val="65215A8C"/>
    <w:rsid w:val="65376B47"/>
    <w:rsid w:val="654042F5"/>
    <w:rsid w:val="65F66C79"/>
    <w:rsid w:val="65F87DE3"/>
    <w:rsid w:val="660447CA"/>
    <w:rsid w:val="661C580F"/>
    <w:rsid w:val="66432D9C"/>
    <w:rsid w:val="665622BC"/>
    <w:rsid w:val="6660772E"/>
    <w:rsid w:val="66647317"/>
    <w:rsid w:val="66653739"/>
    <w:rsid w:val="666C4EE6"/>
    <w:rsid w:val="66792487"/>
    <w:rsid w:val="66FB0FDC"/>
    <w:rsid w:val="66FC5AFF"/>
    <w:rsid w:val="6709462E"/>
    <w:rsid w:val="670C5884"/>
    <w:rsid w:val="6777196F"/>
    <w:rsid w:val="678A1ED0"/>
    <w:rsid w:val="67990E87"/>
    <w:rsid w:val="679F2FF2"/>
    <w:rsid w:val="67AB61F8"/>
    <w:rsid w:val="67BA7741"/>
    <w:rsid w:val="67BD2A93"/>
    <w:rsid w:val="67E6170C"/>
    <w:rsid w:val="680D0CA5"/>
    <w:rsid w:val="68112A26"/>
    <w:rsid w:val="68281903"/>
    <w:rsid w:val="68A45648"/>
    <w:rsid w:val="68A5668C"/>
    <w:rsid w:val="68B20836"/>
    <w:rsid w:val="68D27297"/>
    <w:rsid w:val="6911241F"/>
    <w:rsid w:val="695E7EED"/>
    <w:rsid w:val="69B67115"/>
    <w:rsid w:val="69B82DF4"/>
    <w:rsid w:val="69EE20B7"/>
    <w:rsid w:val="69EF53B4"/>
    <w:rsid w:val="6A126DD2"/>
    <w:rsid w:val="6A420E56"/>
    <w:rsid w:val="6A8F6408"/>
    <w:rsid w:val="6A924E32"/>
    <w:rsid w:val="6A94008C"/>
    <w:rsid w:val="6A9950DE"/>
    <w:rsid w:val="6A9E4A45"/>
    <w:rsid w:val="6AC635A8"/>
    <w:rsid w:val="6AE60947"/>
    <w:rsid w:val="6AEF6EB8"/>
    <w:rsid w:val="6AF87645"/>
    <w:rsid w:val="6B0B374F"/>
    <w:rsid w:val="6B0E6D92"/>
    <w:rsid w:val="6B17074E"/>
    <w:rsid w:val="6B1F0CCB"/>
    <w:rsid w:val="6B6234E5"/>
    <w:rsid w:val="6BBD11F5"/>
    <w:rsid w:val="6BC95AF1"/>
    <w:rsid w:val="6BCE1834"/>
    <w:rsid w:val="6BD12800"/>
    <w:rsid w:val="6C022DB1"/>
    <w:rsid w:val="6C5E02FC"/>
    <w:rsid w:val="6C721812"/>
    <w:rsid w:val="6C8B0F52"/>
    <w:rsid w:val="6CC30793"/>
    <w:rsid w:val="6CC369E5"/>
    <w:rsid w:val="6CDD0DD0"/>
    <w:rsid w:val="6CFA7DB1"/>
    <w:rsid w:val="6D0127E4"/>
    <w:rsid w:val="6D0333AE"/>
    <w:rsid w:val="6D135E16"/>
    <w:rsid w:val="6D1C168A"/>
    <w:rsid w:val="6D282CEC"/>
    <w:rsid w:val="6D347A31"/>
    <w:rsid w:val="6D3668DD"/>
    <w:rsid w:val="6D471CAB"/>
    <w:rsid w:val="6D5A1CE6"/>
    <w:rsid w:val="6DAC0977"/>
    <w:rsid w:val="6DAF0D17"/>
    <w:rsid w:val="6DB941BD"/>
    <w:rsid w:val="6DC60F63"/>
    <w:rsid w:val="6DEF6D4C"/>
    <w:rsid w:val="6E0E4B39"/>
    <w:rsid w:val="6E151E87"/>
    <w:rsid w:val="6E351C40"/>
    <w:rsid w:val="6E4C770B"/>
    <w:rsid w:val="6E5F1098"/>
    <w:rsid w:val="6E6F2793"/>
    <w:rsid w:val="6E703D8E"/>
    <w:rsid w:val="6E777A87"/>
    <w:rsid w:val="6E84323D"/>
    <w:rsid w:val="6E942A76"/>
    <w:rsid w:val="6EA41FA2"/>
    <w:rsid w:val="6EB44AD4"/>
    <w:rsid w:val="6EDF562C"/>
    <w:rsid w:val="6EF2F120"/>
    <w:rsid w:val="6F313FE8"/>
    <w:rsid w:val="6F381CAC"/>
    <w:rsid w:val="6F433E0D"/>
    <w:rsid w:val="6F6128C1"/>
    <w:rsid w:val="6F9C6902"/>
    <w:rsid w:val="6FA0729C"/>
    <w:rsid w:val="6FA6249C"/>
    <w:rsid w:val="6FEF4FB0"/>
    <w:rsid w:val="700A492A"/>
    <w:rsid w:val="70100CA2"/>
    <w:rsid w:val="70393572"/>
    <w:rsid w:val="70437390"/>
    <w:rsid w:val="704A3383"/>
    <w:rsid w:val="70567B70"/>
    <w:rsid w:val="707A7026"/>
    <w:rsid w:val="70A24D48"/>
    <w:rsid w:val="70BA64EF"/>
    <w:rsid w:val="70C900DF"/>
    <w:rsid w:val="70D70CB1"/>
    <w:rsid w:val="70DC62C7"/>
    <w:rsid w:val="70F80524"/>
    <w:rsid w:val="71074280"/>
    <w:rsid w:val="710A2419"/>
    <w:rsid w:val="71326D32"/>
    <w:rsid w:val="714C2CD0"/>
    <w:rsid w:val="715A596A"/>
    <w:rsid w:val="716A4E97"/>
    <w:rsid w:val="717C247D"/>
    <w:rsid w:val="717F26E4"/>
    <w:rsid w:val="71816B8E"/>
    <w:rsid w:val="71832D29"/>
    <w:rsid w:val="718D03FF"/>
    <w:rsid w:val="71907818"/>
    <w:rsid w:val="71B252F9"/>
    <w:rsid w:val="71E95916"/>
    <w:rsid w:val="7203413E"/>
    <w:rsid w:val="724A7260"/>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1B39D7"/>
    <w:rsid w:val="744975DD"/>
    <w:rsid w:val="746920A5"/>
    <w:rsid w:val="74803BAC"/>
    <w:rsid w:val="74B72AE2"/>
    <w:rsid w:val="74CB1EDB"/>
    <w:rsid w:val="74DE73F5"/>
    <w:rsid w:val="751E77AF"/>
    <w:rsid w:val="75D07F8B"/>
    <w:rsid w:val="75E43528"/>
    <w:rsid w:val="75EE5669"/>
    <w:rsid w:val="765D3631"/>
    <w:rsid w:val="76852F5D"/>
    <w:rsid w:val="76957051"/>
    <w:rsid w:val="76966F18"/>
    <w:rsid w:val="76BD4232"/>
    <w:rsid w:val="76C10199"/>
    <w:rsid w:val="76C57BCB"/>
    <w:rsid w:val="76F927CD"/>
    <w:rsid w:val="773B2934"/>
    <w:rsid w:val="773E064E"/>
    <w:rsid w:val="774E1211"/>
    <w:rsid w:val="777B71D8"/>
    <w:rsid w:val="777D4B68"/>
    <w:rsid w:val="77A54D53"/>
    <w:rsid w:val="77D75F2B"/>
    <w:rsid w:val="77FC6767"/>
    <w:rsid w:val="781A0BEC"/>
    <w:rsid w:val="78202415"/>
    <w:rsid w:val="78213FC9"/>
    <w:rsid w:val="78513353"/>
    <w:rsid w:val="78701D9C"/>
    <w:rsid w:val="789B4D29"/>
    <w:rsid w:val="78FA0671"/>
    <w:rsid w:val="793A634F"/>
    <w:rsid w:val="79424F99"/>
    <w:rsid w:val="79515378"/>
    <w:rsid w:val="795A247F"/>
    <w:rsid w:val="798635EB"/>
    <w:rsid w:val="79A5750A"/>
    <w:rsid w:val="79F87A3D"/>
    <w:rsid w:val="7A03609F"/>
    <w:rsid w:val="7A0C1011"/>
    <w:rsid w:val="7A0E7A81"/>
    <w:rsid w:val="7A321CDB"/>
    <w:rsid w:val="7A567B6E"/>
    <w:rsid w:val="7A6E32C8"/>
    <w:rsid w:val="7A707A80"/>
    <w:rsid w:val="7A773BD6"/>
    <w:rsid w:val="7ABE4C8F"/>
    <w:rsid w:val="7AC900CF"/>
    <w:rsid w:val="7B052FBD"/>
    <w:rsid w:val="7B203254"/>
    <w:rsid w:val="7B2F4DDF"/>
    <w:rsid w:val="7B4C161C"/>
    <w:rsid w:val="7B5A5A6C"/>
    <w:rsid w:val="7B5C250E"/>
    <w:rsid w:val="7B6D0F87"/>
    <w:rsid w:val="7B72691F"/>
    <w:rsid w:val="7B783FD8"/>
    <w:rsid w:val="7B9A3DB8"/>
    <w:rsid w:val="7BA113AB"/>
    <w:rsid w:val="7BD52290"/>
    <w:rsid w:val="7BD568A0"/>
    <w:rsid w:val="7BEC1388"/>
    <w:rsid w:val="7BEF4EB5"/>
    <w:rsid w:val="7BF20E1E"/>
    <w:rsid w:val="7C1524F7"/>
    <w:rsid w:val="7C29438A"/>
    <w:rsid w:val="7C456120"/>
    <w:rsid w:val="7C5728ED"/>
    <w:rsid w:val="7C82779C"/>
    <w:rsid w:val="7C88500D"/>
    <w:rsid w:val="7C9408F4"/>
    <w:rsid w:val="7CB4634A"/>
    <w:rsid w:val="7CB83597"/>
    <w:rsid w:val="7CB90CC2"/>
    <w:rsid w:val="7CDF6871"/>
    <w:rsid w:val="7CFB2CE9"/>
    <w:rsid w:val="7D0C34C4"/>
    <w:rsid w:val="7D212CA5"/>
    <w:rsid w:val="7D255EE2"/>
    <w:rsid w:val="7D263FE0"/>
    <w:rsid w:val="7D293184"/>
    <w:rsid w:val="7D360B0D"/>
    <w:rsid w:val="7D4B3EE6"/>
    <w:rsid w:val="7D6112EF"/>
    <w:rsid w:val="7D68620F"/>
    <w:rsid w:val="7D69777E"/>
    <w:rsid w:val="7D927DC0"/>
    <w:rsid w:val="7D971DB1"/>
    <w:rsid w:val="7DB34706"/>
    <w:rsid w:val="7E1A0A9F"/>
    <w:rsid w:val="7E2A7AB7"/>
    <w:rsid w:val="7E3C401A"/>
    <w:rsid w:val="7E641213"/>
    <w:rsid w:val="7EB42631"/>
    <w:rsid w:val="7EE33139"/>
    <w:rsid w:val="7EF34773"/>
    <w:rsid w:val="7F05364F"/>
    <w:rsid w:val="7F0D08DC"/>
    <w:rsid w:val="7F0D21BA"/>
    <w:rsid w:val="7F173D26"/>
    <w:rsid w:val="7F32168D"/>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4"/>
    <w:link w:val="68"/>
    <w:qFormat/>
    <w:uiPriority w:val="0"/>
    <w:pPr>
      <w:ind w:firstLine="420" w:firstLineChars="200"/>
    </w:pPr>
  </w:style>
  <w:style w:type="paragraph" w:styleId="14">
    <w:name w:val="Balloon Text"/>
    <w:basedOn w:val="1"/>
    <w:link w:val="79"/>
    <w:qFormat/>
    <w:uiPriority w:val="0"/>
    <w:rPr>
      <w:kern w:val="0"/>
      <w:sz w:val="18"/>
      <w:szCs w:val="18"/>
    </w:rPr>
  </w:style>
  <w:style w:type="paragraph" w:styleId="15">
    <w:name w:val="Document Map"/>
    <w:basedOn w:val="1"/>
    <w:link w:val="75"/>
    <w:qFormat/>
    <w:uiPriority w:val="0"/>
    <w:pPr>
      <w:shd w:val="clear" w:color="auto" w:fill="000080"/>
    </w:pPr>
    <w:rPr>
      <w:kern w:val="0"/>
      <w:sz w:val="20"/>
    </w:rPr>
  </w:style>
  <w:style w:type="paragraph" w:styleId="16">
    <w:name w:val="annotation text"/>
    <w:basedOn w:val="1"/>
    <w:link w:val="57"/>
    <w:unhideWhenUsed/>
    <w:qFormat/>
    <w:uiPriority w:val="99"/>
    <w:pPr>
      <w:jc w:val="left"/>
    </w:pPr>
    <w:rPr>
      <w:kern w:val="0"/>
      <w:sz w:val="20"/>
    </w:rPr>
  </w:style>
  <w:style w:type="paragraph" w:styleId="17">
    <w:name w:val="Body Text 3"/>
    <w:basedOn w:val="1"/>
    <w:link w:val="61"/>
    <w:qFormat/>
    <w:uiPriority w:val="0"/>
    <w:rPr>
      <w:rFonts w:ascii="宋体"/>
      <w:kern w:val="0"/>
      <w:sz w:val="24"/>
      <w:szCs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6"/>
    <w:next w:val="16"/>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6"/>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7"/>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5"/>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4"/>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10074</Words>
  <Characters>10641</Characters>
  <Lines>116</Lines>
  <Paragraphs>32</Paragraphs>
  <TotalTime>0</TotalTime>
  <ScaleCrop>false</ScaleCrop>
  <LinksUpToDate>false</LinksUpToDate>
  <CharactersWithSpaces>10828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admin</cp:lastModifiedBy>
  <cp:lastPrinted>2022-06-07T10:51:00Z</cp:lastPrinted>
  <dcterms:modified xsi:type="dcterms:W3CDTF">2025-12-17T09:01:32Z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39E7FC44FD4B4054BC2A10F82291D381_13</vt:lpwstr>
  </property>
  <property fmtid="{D5CDD505-2E9C-101B-9397-08002B2CF9AE}" pid="4" name="KSOTemplateDocerSaveRecord">
    <vt:lpwstr>eyJoZGlkIjoiMDcxZDFlMTRlMTdjNzZiZDFkZjcyMDFmYjBjNDViOTcifQ==</vt:lpwstr>
  </property>
</Properties>
</file>